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2C" w:rsidRDefault="000D732C" w:rsidP="000D732C">
      <w:pPr>
        <w:tabs>
          <w:tab w:val="left" w:pos="5387"/>
        </w:tabs>
        <w:ind w:left="5387"/>
        <w:jc w:val="right"/>
        <w:rPr>
          <w:rStyle w:val="FontStyle29"/>
          <w:b/>
          <w:color w:val="auto"/>
          <w:sz w:val="24"/>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center"/>
        <w:rPr>
          <w:b/>
          <w:sz w:val="28"/>
          <w:szCs w:val="28"/>
        </w:rPr>
      </w:pPr>
      <w:r>
        <w:rPr>
          <w:b/>
          <w:sz w:val="28"/>
          <w:szCs w:val="28"/>
        </w:rPr>
        <w:t>Методика оценки финансового состояния, деловой репутации и реальности деятельности юридического лица - резидента Российской Федерации для предоставления займов в соответствии с частью 17 статьи 3.3 Федерального закона от 29.12.2004 №191-ФЗ «О введении в действие Градостроительного кодекса Российской Федерации»</w:t>
      </w: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jc w:val="right"/>
        <w:rPr>
          <w:sz w:val="18"/>
          <w:szCs w:val="18"/>
        </w:rPr>
      </w:pPr>
    </w:p>
    <w:p w:rsidR="000D732C" w:rsidRDefault="000D732C" w:rsidP="000D732C">
      <w:pPr>
        <w:spacing w:after="200" w:line="276" w:lineRule="auto"/>
        <w:rPr>
          <w:b/>
        </w:rPr>
      </w:pPr>
      <w:r>
        <w:rPr>
          <w:b/>
        </w:rPr>
        <w:br w:type="page"/>
      </w:r>
      <w:bookmarkStart w:id="0" w:name="_Toc409432294"/>
      <w:bookmarkStart w:id="1" w:name="_Toc409432241"/>
      <w:bookmarkStart w:id="2" w:name="_Toc409432086"/>
      <w:bookmarkStart w:id="3" w:name="_Toc409432007"/>
      <w:bookmarkStart w:id="4" w:name="_Toc361733820"/>
      <w:bookmarkStart w:id="5" w:name="_Toc66255273"/>
    </w:p>
    <w:p w:rsidR="000D732C" w:rsidRDefault="000D732C" w:rsidP="000D732C">
      <w:pPr>
        <w:pStyle w:val="12"/>
      </w:pPr>
      <w:r>
        <w:lastRenderedPageBreak/>
        <w:t>Оглавление</w:t>
      </w:r>
    </w:p>
    <w:p w:rsidR="000D732C" w:rsidRDefault="000D732C" w:rsidP="000D732C">
      <w:pPr>
        <w:pStyle w:val="12"/>
      </w:pPr>
      <w:r>
        <w:fldChar w:fldCharType="begin"/>
      </w:r>
      <w:r>
        <w:instrText xml:space="preserve"> TOC \o "1-1" \h \z \u </w:instrText>
      </w:r>
      <w:r>
        <w:fldChar w:fldCharType="separate"/>
      </w:r>
      <w:r>
        <w:t>1. ОБЩИЕ ПОЛОЖЕНИЯ</w:t>
      </w:r>
    </w:p>
    <w:p w:rsidR="000D732C" w:rsidRDefault="000D732C" w:rsidP="000D732C"/>
    <w:p w:rsidR="000D732C" w:rsidRDefault="000D732C" w:rsidP="000D732C">
      <w:pPr>
        <w:rPr>
          <w:b/>
        </w:rPr>
      </w:pPr>
      <w:r>
        <w:rPr>
          <w:b/>
        </w:rPr>
        <w:t>2. ИНФОРМАЦИОННАЯ БАЗА ДЛЯ АНАЛИЗА</w:t>
      </w:r>
    </w:p>
    <w:p w:rsidR="000D732C" w:rsidRDefault="000D732C" w:rsidP="000D732C">
      <w:pPr>
        <w:rPr>
          <w:b/>
        </w:rPr>
      </w:pPr>
    </w:p>
    <w:p w:rsidR="000D732C" w:rsidRDefault="000D732C" w:rsidP="000D732C">
      <w:pPr>
        <w:rPr>
          <w:b/>
        </w:rPr>
      </w:pPr>
      <w:r>
        <w:rPr>
          <w:b/>
        </w:rPr>
        <w:t>3. АНАЛИЗ ФИНАНСОВЫХ РЕЗУЛЬТАТОВ</w:t>
      </w:r>
    </w:p>
    <w:p w:rsidR="000D732C" w:rsidRDefault="000D732C" w:rsidP="000D732C">
      <w:pPr>
        <w:rPr>
          <w:b/>
        </w:rPr>
      </w:pPr>
    </w:p>
    <w:p w:rsidR="000D732C" w:rsidRDefault="000D732C" w:rsidP="000D732C">
      <w:pPr>
        <w:rPr>
          <w:b/>
        </w:rPr>
      </w:pPr>
      <w:r>
        <w:rPr>
          <w:b/>
        </w:rPr>
        <w:t>4. АНАЛИЗ СТРУКТУРЫ БАЛАНСА</w:t>
      </w:r>
    </w:p>
    <w:p w:rsidR="000D732C" w:rsidRDefault="000D732C" w:rsidP="000D732C">
      <w:pPr>
        <w:rPr>
          <w:b/>
        </w:rPr>
      </w:pPr>
    </w:p>
    <w:p w:rsidR="000D732C" w:rsidRDefault="000D732C" w:rsidP="000D732C">
      <w:pPr>
        <w:rPr>
          <w:b/>
        </w:rPr>
      </w:pPr>
      <w:r>
        <w:rPr>
          <w:b/>
        </w:rPr>
        <w:t>5. АНАЛИТИЧЕСКИЕ ПОКАЗАТЕЛИ</w:t>
      </w:r>
    </w:p>
    <w:p w:rsidR="000D732C" w:rsidRDefault="000D732C" w:rsidP="000D732C">
      <w:pPr>
        <w:rPr>
          <w:b/>
        </w:rPr>
      </w:pPr>
    </w:p>
    <w:p w:rsidR="000D732C" w:rsidRDefault="000D732C" w:rsidP="000D732C">
      <w:pPr>
        <w:rPr>
          <w:b/>
        </w:rPr>
      </w:pPr>
      <w:r>
        <w:rPr>
          <w:b/>
        </w:rPr>
        <w:t xml:space="preserve">6. КОЭФФИЦИЕНТЫ, ХАРАКТЕРИЗУЮЩИЕ ПЛАТЖЕСПОСОБНОСТЬ ОРГАНИЗАЦИИ </w:t>
      </w:r>
    </w:p>
    <w:p w:rsidR="000D732C" w:rsidRDefault="000D732C" w:rsidP="000D732C">
      <w:pPr>
        <w:rPr>
          <w:b/>
        </w:rPr>
      </w:pPr>
    </w:p>
    <w:p w:rsidR="000D732C" w:rsidRDefault="000D732C" w:rsidP="000D732C">
      <w:pPr>
        <w:rPr>
          <w:b/>
        </w:rPr>
      </w:pPr>
      <w:r>
        <w:rPr>
          <w:b/>
        </w:rPr>
        <w:t>7. КОЭФФИЦИЕНТЫ, ПОЗВОЛЯЮЩИЕ ОЦЕНИТЬ ЭФФЕКТИВНОСТЬ ЭКОНОМИЧЕСКОЙ ДЕЯТЕЛЬНОСТИ ОРГАНИЗАЦИИ</w:t>
      </w:r>
    </w:p>
    <w:p w:rsidR="000D732C" w:rsidRDefault="000D732C" w:rsidP="000D732C">
      <w:pPr>
        <w:rPr>
          <w:b/>
        </w:rPr>
      </w:pPr>
    </w:p>
    <w:p w:rsidR="000D732C" w:rsidRDefault="000D732C" w:rsidP="000D732C">
      <w:pPr>
        <w:rPr>
          <w:b/>
        </w:rPr>
      </w:pPr>
      <w:r>
        <w:rPr>
          <w:b/>
        </w:rPr>
        <w:t>8. РАСЧЕТ РИСКА НЕВОЗВРАТА ЗАЙМА</w:t>
      </w:r>
    </w:p>
    <w:p w:rsidR="000D732C" w:rsidRDefault="000D732C" w:rsidP="000D732C">
      <w:pPr>
        <w:rPr>
          <w:b/>
        </w:rPr>
      </w:pPr>
    </w:p>
    <w:p w:rsidR="000D732C" w:rsidRDefault="000D732C" w:rsidP="000D732C">
      <w:pPr>
        <w:rPr>
          <w:b/>
        </w:rPr>
      </w:pPr>
      <w:r>
        <w:rPr>
          <w:b/>
        </w:rPr>
        <w:t>9. ПРОВЕРКА ДЕЛОВОЙ РЕПУТАЦИИ</w:t>
      </w:r>
    </w:p>
    <w:p w:rsidR="000D732C" w:rsidRDefault="000D732C" w:rsidP="000D732C">
      <w:pPr>
        <w:rPr>
          <w:b/>
        </w:rPr>
      </w:pPr>
    </w:p>
    <w:p w:rsidR="000D732C" w:rsidRDefault="000D732C" w:rsidP="000D732C">
      <w:pPr>
        <w:rPr>
          <w:b/>
        </w:rPr>
      </w:pPr>
      <w:r>
        <w:rPr>
          <w:b/>
        </w:rPr>
        <w:t>10. ОЦЕНКА ОБСТОЯТЕЛЬСТВ, СВИДЕТЕЛЬСТВУЮЩИХ О ВОЗМОЖНОМ ОТСУТСТВИИ У ЗАЕМЩИКОВ РЕАЛЬНОЙ ДЕЯТЕЛЬНОСТИ ИЛИ ОБ ОСУЩЕСТВЕЛЕНИИ ЕЕ В НЕЗНАЧИТЕЛЬНЫХ ОБЪЕМАХ</w:t>
      </w:r>
    </w:p>
    <w:p w:rsidR="000D732C" w:rsidRDefault="000D732C" w:rsidP="000D732C">
      <w:pPr>
        <w:rPr>
          <w:b/>
        </w:rPr>
      </w:pPr>
    </w:p>
    <w:p w:rsidR="000D732C" w:rsidRDefault="000D732C" w:rsidP="000D732C">
      <w:pPr>
        <w:rPr>
          <w:b/>
        </w:rPr>
      </w:pPr>
      <w:r>
        <w:rPr>
          <w:b/>
        </w:rPr>
        <w:t>11.ВЫВОДЫ</w:t>
      </w:r>
    </w:p>
    <w:p w:rsidR="000D732C" w:rsidRDefault="000D732C" w:rsidP="000D732C">
      <w:pPr>
        <w:rPr>
          <w:b/>
        </w:rPr>
      </w:pPr>
    </w:p>
    <w:p w:rsidR="000D732C" w:rsidRDefault="000D732C" w:rsidP="000D732C">
      <w:pPr>
        <w:rPr>
          <w:b/>
        </w:rPr>
      </w:pPr>
      <w:r>
        <w:rPr>
          <w:b/>
        </w:rPr>
        <w:t>12. ПРИЛОЖЕНИЯ</w:t>
      </w:r>
    </w:p>
    <w:p w:rsidR="000D732C" w:rsidRDefault="000D732C" w:rsidP="000D732C">
      <w:pPr>
        <w:rPr>
          <w:b/>
        </w:rPr>
      </w:pPr>
    </w:p>
    <w:p w:rsidR="000D732C" w:rsidRDefault="000D732C" w:rsidP="000D732C">
      <w:pPr>
        <w:rPr>
          <w:b/>
        </w:rPr>
      </w:pPr>
      <w:r>
        <w:rPr>
          <w:b/>
        </w:rPr>
        <w:t>13. ВСПОМОГАТЕЛЬНЫЕ КОЭФФИЦИЕНТЫ ДЛЯ ФИНАНСОВОГО АНАЛИЗА</w:t>
      </w:r>
    </w:p>
    <w:p w:rsidR="000D732C" w:rsidRDefault="000D732C" w:rsidP="000D732C">
      <w:pPr>
        <w:rPr>
          <w:b/>
        </w:rPr>
      </w:pPr>
      <w:r>
        <w:rPr>
          <w:b/>
        </w:rPr>
        <w:t xml:space="preserve"> </w:t>
      </w:r>
    </w:p>
    <w:p w:rsidR="000D732C" w:rsidRDefault="000D732C" w:rsidP="000D732C">
      <w:pPr>
        <w:rPr>
          <w:b/>
        </w:rPr>
      </w:pPr>
    </w:p>
    <w:p w:rsidR="000D732C" w:rsidRDefault="000D732C" w:rsidP="000D732C">
      <w:pPr>
        <w:rPr>
          <w:rFonts w:eastAsia="SimSun"/>
        </w:rPr>
      </w:pPr>
    </w:p>
    <w:p w:rsidR="000D732C" w:rsidRDefault="000D732C" w:rsidP="000D732C">
      <w:pPr>
        <w:pStyle w:val="12"/>
        <w:rPr>
          <w:rFonts w:eastAsia="SimSun"/>
          <w:noProof/>
        </w:rPr>
      </w:pPr>
    </w:p>
    <w:p w:rsidR="000D732C" w:rsidRDefault="000D732C" w:rsidP="000D732C">
      <w:r>
        <w:fldChar w:fldCharType="end"/>
      </w:r>
    </w:p>
    <w:p w:rsidR="000D732C" w:rsidRDefault="000D732C" w:rsidP="000D732C">
      <w:pPr>
        <w:rPr>
          <w:lang w:eastAsia="en-US"/>
        </w:rPr>
      </w:pPr>
      <w:r>
        <w:br w:type="page"/>
      </w:r>
      <w:bookmarkStart w:id="6" w:name="_Toc409432295"/>
      <w:bookmarkStart w:id="7" w:name="_Toc409432250"/>
      <w:bookmarkStart w:id="8" w:name="_Toc409432087"/>
      <w:bookmarkStart w:id="9" w:name="_Toc409432008"/>
      <w:bookmarkStart w:id="10" w:name="_Toc361733821"/>
      <w:bookmarkStart w:id="11" w:name="_Toc66255274"/>
      <w:bookmarkEnd w:id="0"/>
      <w:bookmarkEnd w:id="1"/>
      <w:bookmarkEnd w:id="2"/>
      <w:bookmarkEnd w:id="3"/>
      <w:bookmarkEnd w:id="4"/>
      <w:bookmarkEnd w:id="5"/>
      <w:r>
        <w:rPr>
          <w:lang w:eastAsia="en-US"/>
        </w:rPr>
        <w:lastRenderedPageBreak/>
        <w:t xml:space="preserve"> </w:t>
      </w:r>
      <w:bookmarkStart w:id="12" w:name="_Toc435803493"/>
      <w:bookmarkStart w:id="13" w:name="_Toc435803466"/>
      <w:bookmarkStart w:id="14" w:name="_Toc421527205"/>
      <w:bookmarkStart w:id="15" w:name="_Toc409432298"/>
      <w:bookmarkStart w:id="16" w:name="_Toc409432253"/>
      <w:bookmarkStart w:id="17" w:name="_Toc409432090"/>
      <w:bookmarkStart w:id="18" w:name="_Toc409432011"/>
      <w:bookmarkStart w:id="19" w:name="_Toc361733824"/>
      <w:bookmarkStart w:id="20" w:name="_Toc66255277"/>
      <w:bookmarkEnd w:id="6"/>
      <w:bookmarkEnd w:id="7"/>
      <w:bookmarkEnd w:id="8"/>
      <w:bookmarkEnd w:id="9"/>
      <w:bookmarkEnd w:id="10"/>
      <w:bookmarkEnd w:id="11"/>
    </w:p>
    <w:p w:rsidR="000D732C" w:rsidRDefault="000D732C" w:rsidP="000D732C">
      <w:pPr>
        <w:spacing w:after="200" w:line="276" w:lineRule="auto"/>
        <w:jc w:val="center"/>
        <w:rPr>
          <w:b/>
        </w:rPr>
      </w:pPr>
      <w:bookmarkStart w:id="21" w:name="_Toc435803491"/>
      <w:bookmarkStart w:id="22" w:name="_Toc435803464"/>
      <w:bookmarkStart w:id="23" w:name="_Toc421527203"/>
      <w:r>
        <w:rPr>
          <w:b/>
          <w:lang w:eastAsia="en-US"/>
        </w:rPr>
        <w:t>1. Общие положения</w:t>
      </w:r>
      <w:bookmarkEnd w:id="21"/>
      <w:bookmarkEnd w:id="22"/>
      <w:bookmarkEnd w:id="23"/>
    </w:p>
    <w:p w:rsidR="000D732C" w:rsidRDefault="000D732C" w:rsidP="000D732C"/>
    <w:p w:rsidR="000D732C" w:rsidRDefault="000D732C" w:rsidP="000D732C">
      <w:pPr>
        <w:spacing w:before="120"/>
        <w:ind w:firstLine="567"/>
        <w:jc w:val="both"/>
      </w:pPr>
      <w:r>
        <w:t>1.1. Настоящая Методика разработана в качестве рекомендательного документа для использования саморегулируемыми организациями, объединяющими лиц, осуществляющих строительство, для оценки юридических лиц – членов таких СРО для выдачи займов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(далее – Градостроительный кодекс).</w:t>
      </w:r>
    </w:p>
    <w:p w:rsidR="000D732C" w:rsidRDefault="000D732C" w:rsidP="000D732C">
      <w:pPr>
        <w:spacing w:before="120"/>
        <w:ind w:firstLine="567"/>
        <w:jc w:val="both"/>
      </w:pPr>
      <w:r>
        <w:t>Методика регламентирует порядок анализа и оценки финансовой и иной информации о юридических лицах</w:t>
      </w:r>
      <w:proofErr w:type="gramStart"/>
      <w:r>
        <w:t xml:space="preserve"> ,</w:t>
      </w:r>
      <w:proofErr w:type="gramEnd"/>
      <w:r>
        <w:t xml:space="preserve"> обратившихся с целью получения займа. </w:t>
      </w:r>
    </w:p>
    <w:p w:rsidR="000D732C" w:rsidRDefault="000D732C" w:rsidP="000D732C">
      <w:pPr>
        <w:spacing w:before="120"/>
        <w:ind w:firstLine="567"/>
        <w:jc w:val="both"/>
      </w:pPr>
      <w:r>
        <w:t>Применение Методики возможно для оценки организаций, формирующих финансовую отчетность в соответствии с Приказом Минфина России от 02.07.2010 № 66н «О формах бухгалтерской отчетности организаций» (со всеми изменениями).</w:t>
      </w:r>
    </w:p>
    <w:p w:rsidR="000D732C" w:rsidRDefault="000D732C" w:rsidP="000D732C">
      <w:pPr>
        <w:spacing w:before="120"/>
        <w:ind w:firstLine="567"/>
        <w:jc w:val="both"/>
      </w:pPr>
      <w:r>
        <w:t xml:space="preserve">Методика включает в себя описание </w:t>
      </w:r>
      <w:proofErr w:type="gramStart"/>
      <w:r>
        <w:t>процесса проведения анализа финансового положения юридических лиц любой</w:t>
      </w:r>
      <w:proofErr w:type="gramEnd"/>
      <w:r>
        <w:t xml:space="preserve"> организационно-правовой формы (далее – Заемщик) путем подробного отражения всех аналитических показателей, их расчета и нормативных значений, качественных показателей, степень их влияния на итоговое значение финансово положения. Анализ финансового положения производится с целью определения кредитного риска путем формирования объективного заключения о финансовой устойчивости, платежеспособности, деловой активности и эффективности деятельности юридического лица, а также выявления проблем и перспектив его развития. Анализ осуществляется на комплексной основе и производится путем расчета совокупности показателей, выявления финансовых и нефинансовых рисков, осуществления их сравнительного анализа с оптимальными (нормативными) значениями, присвоения бальной оценки с учетом веса в общей рейтинговой шкале и дальнейшего суммирования полученных значений с целью получения итогового финансового положения Заемщика. Необходимым условием для объективного анализа финансового положения Заемщика является полная, достоверная и актуальная информация о нем.</w:t>
      </w:r>
    </w:p>
    <w:p w:rsidR="000D732C" w:rsidRDefault="000D732C" w:rsidP="000D732C">
      <w:pPr>
        <w:spacing w:before="120"/>
        <w:ind w:firstLine="567"/>
        <w:jc w:val="both"/>
      </w:pPr>
      <w:r>
        <w:t xml:space="preserve">Исходными данными для расчета служит финансовая информация о Заемщике, а также иная информация в соответствии с требованиями Градостроительного кодекса и Постановления Правительства Российской Федерации от 27.06.2020 № 938. </w:t>
      </w:r>
    </w:p>
    <w:p w:rsidR="000D732C" w:rsidRDefault="000D732C" w:rsidP="000D732C">
      <w:pPr>
        <w:spacing w:before="120"/>
        <w:ind w:firstLine="567"/>
        <w:jc w:val="both"/>
      </w:pPr>
      <w:r>
        <w:t>Источниками информации могут служить:</w:t>
      </w:r>
    </w:p>
    <w:p w:rsidR="000D732C" w:rsidRDefault="000D732C" w:rsidP="000D732C">
      <w:pPr>
        <w:pStyle w:val="aff9"/>
        <w:numPr>
          <w:ilvl w:val="0"/>
          <w:numId w:val="10"/>
        </w:numPr>
        <w:jc w:val="both"/>
      </w:pPr>
      <w:r>
        <w:rPr>
          <w:szCs w:val="28"/>
        </w:rPr>
        <w:t>Заверенные копии бухгалтерской (финансовой) отчетности за год, предшествующий году подачи документов</w:t>
      </w:r>
      <w:r>
        <w:t>;</w:t>
      </w:r>
    </w:p>
    <w:p w:rsidR="000D732C" w:rsidRDefault="000D732C" w:rsidP="000D732C">
      <w:pPr>
        <w:pStyle w:val="ListParagraph"/>
        <w:numPr>
          <w:ilvl w:val="0"/>
          <w:numId w:val="10"/>
        </w:numPr>
        <w:jc w:val="both"/>
      </w:pPr>
      <w:proofErr w:type="spellStart"/>
      <w:r>
        <w:t>Оборотно</w:t>
      </w:r>
      <w:proofErr w:type="spellEnd"/>
      <w:r>
        <w:t>-сальдовая ведомость по счетам: 62, 60, 76, 51, 70, 66, 67;</w:t>
      </w:r>
    </w:p>
    <w:p w:rsidR="000D732C" w:rsidRDefault="000D732C" w:rsidP="000D732C">
      <w:pPr>
        <w:pStyle w:val="ListParagraph"/>
        <w:numPr>
          <w:ilvl w:val="0"/>
          <w:numId w:val="10"/>
        </w:numPr>
        <w:jc w:val="both"/>
      </w:pPr>
      <w:r>
        <w:t>Расшифровка кредитов и займов, расшифровка дебиторской и кредиторской задолженности в разрезе контрагентов с ИНН, сроков возникновения и погашения;</w:t>
      </w:r>
    </w:p>
    <w:p w:rsidR="000D732C" w:rsidRDefault="000D732C" w:rsidP="000D732C">
      <w:pPr>
        <w:pStyle w:val="ListParagraph"/>
        <w:numPr>
          <w:ilvl w:val="0"/>
          <w:numId w:val="10"/>
        </w:numPr>
        <w:jc w:val="both"/>
      </w:pPr>
      <w:r>
        <w:t>Справка об остатках денежных средств на расчетных счетах Заемщика в кредитных организациях;</w:t>
      </w:r>
    </w:p>
    <w:p w:rsidR="000D732C" w:rsidRDefault="000D732C" w:rsidP="000D732C">
      <w:pPr>
        <w:pStyle w:val="ListParagraph"/>
        <w:numPr>
          <w:ilvl w:val="0"/>
          <w:numId w:val="10"/>
        </w:numPr>
        <w:jc w:val="both"/>
      </w:pPr>
      <w:r>
        <w:t xml:space="preserve">Сведения о наличии (отсутствии) привлечения к субсидиарной ответственности в соответствии с Федеральным </w:t>
      </w:r>
      <w:hyperlink r:id="rId8" w:history="1">
        <w:r>
          <w:rPr>
            <w:rStyle w:val="a7"/>
          </w:rPr>
          <w:t>законом</w:t>
        </w:r>
      </w:hyperlink>
      <w:r>
        <w:t xml:space="preserve"> "О несостоятельности (банкротстве)" лиц, указанных в подпункте ж пункта 6 Постановления Правительства Российской Федерации от 27.06.2020 № 938;</w:t>
      </w:r>
    </w:p>
    <w:p w:rsidR="000D732C" w:rsidRDefault="000D732C" w:rsidP="000D732C">
      <w:pPr>
        <w:pStyle w:val="ListParagraph"/>
        <w:numPr>
          <w:ilvl w:val="0"/>
          <w:numId w:val="10"/>
        </w:numPr>
        <w:jc w:val="both"/>
      </w:pPr>
      <w:r>
        <w:rPr>
          <w:lang w:val="en-GB"/>
        </w:rPr>
        <w:t>C</w:t>
      </w:r>
      <w:r>
        <w:t>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0D732C" w:rsidRDefault="000D732C" w:rsidP="000D732C">
      <w:pPr>
        <w:pStyle w:val="ListParagraph"/>
        <w:numPr>
          <w:ilvl w:val="0"/>
          <w:numId w:val="10"/>
        </w:numPr>
        <w:jc w:val="both"/>
      </w:pPr>
      <w:r>
        <w:t xml:space="preserve"> Справка об отсутствии задолженности по выплате заработной платы по состоянию на 01.04.2020 год;</w:t>
      </w:r>
    </w:p>
    <w:p w:rsidR="000D732C" w:rsidRDefault="000D732C" w:rsidP="000D732C">
      <w:pPr>
        <w:pStyle w:val="aff9"/>
        <w:numPr>
          <w:ilvl w:val="0"/>
          <w:numId w:val="10"/>
        </w:numPr>
        <w:rPr>
          <w:szCs w:val="28"/>
        </w:rPr>
      </w:pPr>
      <w:r>
        <w:rPr>
          <w:szCs w:val="28"/>
        </w:rPr>
        <w:lastRenderedPageBreak/>
        <w:t xml:space="preserve">План расходования займа с указанием целей его использования, соответствующих </w:t>
      </w:r>
      <w:hyperlink r:id="rId9" w:history="1">
        <w:r>
          <w:rPr>
            <w:rStyle w:val="a7"/>
            <w:rFonts w:eastAsia="Calibri"/>
            <w:szCs w:val="28"/>
          </w:rPr>
          <w:t>пункту 4</w:t>
        </w:r>
      </w:hyperlink>
      <w:r>
        <w:rPr>
          <w:szCs w:val="28"/>
        </w:rPr>
        <w:t xml:space="preserve"> Положения об отдельных условиях предоставления займов членам саморегулируемых организаций и порядке осуществления </w:t>
      </w:r>
      <w:proofErr w:type="gramStart"/>
      <w:r>
        <w:rPr>
          <w:szCs w:val="28"/>
        </w:rPr>
        <w:t>контроля за</w:t>
      </w:r>
      <w:proofErr w:type="gramEnd"/>
      <w:r>
        <w:rPr>
          <w:szCs w:val="28"/>
        </w:rPr>
        <w:t xml:space="preserve"> использованием средств, предоставленных по таким займам, утвержденного Постановлением Правительства РФ от 27.06.2020 № 938, и лиц, в пользу которых будут осуществляться платежи за счет средств займа;</w:t>
      </w:r>
    </w:p>
    <w:p w:rsidR="000D732C" w:rsidRDefault="000D732C" w:rsidP="000D732C">
      <w:pPr>
        <w:pStyle w:val="ListParagraph"/>
        <w:numPr>
          <w:ilvl w:val="0"/>
          <w:numId w:val="10"/>
        </w:numPr>
        <w:jc w:val="both"/>
      </w:pPr>
      <w:r>
        <w:t>Справка о наличии (отсутствии) судимости у учредителей (участников) Заемщика</w:t>
      </w:r>
    </w:p>
    <w:p w:rsidR="000D732C" w:rsidRDefault="000D732C" w:rsidP="000D732C">
      <w:pPr>
        <w:pStyle w:val="ListParagraph"/>
        <w:numPr>
          <w:ilvl w:val="0"/>
          <w:numId w:val="10"/>
        </w:numPr>
        <w:jc w:val="both"/>
      </w:pPr>
      <w:r>
        <w:t>Справка налогового органа об открытых расчетных счетах заемщика в кредитных организациях;</w:t>
      </w:r>
    </w:p>
    <w:p w:rsidR="000D732C" w:rsidRDefault="000D732C" w:rsidP="000D732C">
      <w:pPr>
        <w:pStyle w:val="ListParagraph"/>
        <w:numPr>
          <w:ilvl w:val="0"/>
          <w:numId w:val="10"/>
        </w:numPr>
        <w:jc w:val="both"/>
      </w:pPr>
      <w:r>
        <w:t>Сведения, размещенные в открытых источниках (</w:t>
      </w:r>
      <w:proofErr w:type="spellStart"/>
      <w:r>
        <w:t>Контур</w:t>
      </w:r>
      <w:proofErr w:type="gramStart"/>
      <w:r>
        <w:t>.Ф</w:t>
      </w:r>
      <w:proofErr w:type="gramEnd"/>
      <w:r>
        <w:t>окус</w:t>
      </w:r>
      <w:proofErr w:type="spellEnd"/>
      <w:r>
        <w:t>, СПАРК)</w:t>
      </w:r>
    </w:p>
    <w:p w:rsidR="000D732C" w:rsidRDefault="000D732C" w:rsidP="000D732C">
      <w:pPr>
        <w:pStyle w:val="ListParagraph"/>
        <w:numPr>
          <w:ilvl w:val="0"/>
          <w:numId w:val="10"/>
        </w:numPr>
        <w:jc w:val="both"/>
      </w:pPr>
      <w:r>
        <w:t>Реестр договоров на период предоставления займа;</w:t>
      </w:r>
    </w:p>
    <w:p w:rsidR="000D732C" w:rsidRDefault="000D732C" w:rsidP="000D732C">
      <w:pPr>
        <w:numPr>
          <w:ilvl w:val="0"/>
          <w:numId w:val="10"/>
        </w:numPr>
        <w:jc w:val="both"/>
      </w:pPr>
      <w:r>
        <w:rPr>
          <w:rFonts w:eastAsia="Times New Roman"/>
        </w:rPr>
        <w:t>Договоры подряда с приложением документов, подтверждающих объем выполненных по таким договорам работ.</w:t>
      </w:r>
    </w:p>
    <w:p w:rsidR="000D732C" w:rsidRDefault="000D732C" w:rsidP="000D732C">
      <w:pPr>
        <w:pStyle w:val="ListParagraph"/>
        <w:ind w:left="757"/>
        <w:jc w:val="both"/>
      </w:pPr>
    </w:p>
    <w:p w:rsidR="000D732C" w:rsidRDefault="000D732C" w:rsidP="000D732C">
      <w:pPr>
        <w:pStyle w:val="ListParagraph"/>
        <w:numPr>
          <w:ilvl w:val="1"/>
          <w:numId w:val="11"/>
        </w:numPr>
        <w:ind w:left="0" w:firstLine="567"/>
        <w:jc w:val="both"/>
      </w:pPr>
      <w:r>
        <w:t>Анализ финансового положения проводится с целью:</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eastAsia="Times New Roman" w:hAnsi="&amp;quot"/>
          <w:color w:val="000000"/>
          <w:sz w:val="23"/>
          <w:szCs w:val="23"/>
        </w:rPr>
        <w:t>О</w:t>
      </w:r>
      <w:r>
        <w:rPr>
          <w:rFonts w:ascii="&amp;quot" w:hAnsi="&amp;quot"/>
          <w:color w:val="000000"/>
          <w:sz w:val="23"/>
          <w:szCs w:val="23"/>
        </w:rPr>
        <w:t>ценки абсолютных и относительных показателей финансовой устойчивости предприятия и оценка изменения ее уровня,</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Оценки платежеспособности предприятия и ликвидности активов его баланса.</w:t>
      </w:r>
    </w:p>
    <w:p w:rsidR="000D732C" w:rsidRDefault="000D732C" w:rsidP="000D732C">
      <w:pPr>
        <w:spacing w:before="120"/>
        <w:ind w:firstLine="567"/>
        <w:jc w:val="both"/>
      </w:pPr>
      <w:r>
        <w:t xml:space="preserve">1.3 Анализ финансового положения Заемщика осуществляется по следующим </w:t>
      </w:r>
      <w:r>
        <w:rPr>
          <w:bCs/>
        </w:rPr>
        <w:t>направлениям</w:t>
      </w:r>
      <w:r>
        <w:t>:</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Анализ ликвидности и платежеспособности;</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Анализ структуры активов и пассивов;</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Анализ финансовой устойчивости;</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Анализ достаточности объема оборотов для погашения задолженности, анализ дебиторской/кредиторской задолженностей, заемных средств, запасов, основных средств.</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Анализ финансовой устойчивости по величине излишка (недостатка) собственных оборотных средств</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Анализ рентабельности</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Анализ рентабельности капитала</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Расчет показателей деловой активности (оборачиваемости)</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Анализ кредитоспособности заемщика по методике Сбербанка России</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Прогноз банкротства</w:t>
      </w:r>
    </w:p>
    <w:p w:rsidR="000D732C" w:rsidRDefault="000D732C" w:rsidP="000D732C">
      <w:pPr>
        <w:spacing w:before="60"/>
        <w:ind w:firstLine="567"/>
        <w:jc w:val="both"/>
      </w:pPr>
      <w:r>
        <w:t>1.4 Наряду с перечисленными направлениями анализа финансового положения для всех Заемщиков рекомендуется проводить:</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Изучение добросовестности и деловой репутации;</w:t>
      </w:r>
    </w:p>
    <w:p w:rsidR="000D732C" w:rsidRDefault="000D732C" w:rsidP="000D732C">
      <w:pPr>
        <w:spacing w:before="120"/>
        <w:ind w:firstLine="567"/>
        <w:jc w:val="both"/>
      </w:pPr>
      <w:r>
        <w:t>1.5. Саморегулируемая организация (далее - СРО) вправе запросить дополнительную информацию для комплексной оценки финансового состояния Заемщика и принятия объективного решения для выдачи займа.</w:t>
      </w:r>
    </w:p>
    <w:p w:rsidR="000D732C" w:rsidRDefault="000D732C" w:rsidP="000D732C">
      <w:pPr>
        <w:spacing w:before="120"/>
        <w:ind w:firstLine="567"/>
        <w:jc w:val="both"/>
        <w:rPr>
          <w:b/>
        </w:rPr>
      </w:pPr>
      <w:r>
        <w:rPr>
          <w:b/>
        </w:rPr>
        <w:t>Примечание (не требуется включать в методику, утверждаемую СРО):</w:t>
      </w:r>
    </w:p>
    <w:p w:rsidR="000D732C" w:rsidRDefault="000D732C" w:rsidP="000D732C">
      <w:pPr>
        <w:spacing w:before="120"/>
        <w:ind w:firstLine="567"/>
        <w:jc w:val="both"/>
      </w:pPr>
      <w:r>
        <w:t xml:space="preserve">СРО могут утвердить решением своих органов управления эту или любую другую методику, позволяющую оценить финансовое состояние, деловую репутацию и реальность деятельности юридического лица, претендующего на получение займа. </w:t>
      </w:r>
    </w:p>
    <w:p w:rsidR="000D732C" w:rsidRDefault="000D732C" w:rsidP="000D732C">
      <w:pPr>
        <w:ind w:firstLine="567"/>
        <w:jc w:val="both"/>
      </w:pPr>
      <w:proofErr w:type="gramStart"/>
      <w:r>
        <w:t>Если СРО утверждает методику в качестве способа оценки финансового состояния, деловой репутации и реальности деятельности юридического лица, в Положение о КФ ОДО необходимо включить дополнительное требование к члену, например, «заключение об оценке финансового положения и деловой репутации члена саморегулируемой организации (в соответствии с методикой, утверждённой саморегулируемой организацией) содержит выводы об обеспечении возвратности средств займа» или «коэффициент риска невозврата займа, рассчитанный</w:t>
      </w:r>
      <w:proofErr w:type="gramEnd"/>
      <w:r>
        <w:t xml:space="preserve"> в соответствии с Методикой оценки финансового состояния, деловой репутации и реальности деятельности юридического лица имеет значение более или равное нулю». </w:t>
      </w:r>
    </w:p>
    <w:p w:rsidR="000D732C" w:rsidRDefault="000D732C" w:rsidP="000D732C">
      <w:pPr>
        <w:ind w:firstLine="567"/>
        <w:jc w:val="both"/>
      </w:pPr>
      <w:r>
        <w:lastRenderedPageBreak/>
        <w:t>Кроме того, требуется включить пункт следующего содержания: «Саморегулируемая организация в соответствии с Методикой по оценке финансового состояния и деловой репутации юридического лица, (вариативная часть, в случае утверждения ПДКОУ СРО указанной Методики) утверждает заключение о финансовой устойчивости, платёжеспособности, деловой активности и эффективности деятельности заёмщика. Для этих целей саморегулируемая организация вправе запросить у заёмщика дополнительную информацию и документы, предусмотренные указанной Методикой</w:t>
      </w:r>
      <w:proofErr w:type="gramStart"/>
      <w:r>
        <w:t>.».</w:t>
      </w:r>
      <w:proofErr w:type="gramEnd"/>
    </w:p>
    <w:p w:rsidR="000D732C" w:rsidRDefault="000D732C" w:rsidP="000D732C">
      <w:pPr>
        <w:ind w:firstLine="567"/>
        <w:jc w:val="both"/>
        <w:rPr>
          <w:sz w:val="28"/>
          <w:szCs w:val="28"/>
        </w:rPr>
      </w:pPr>
    </w:p>
    <w:p w:rsidR="000D732C" w:rsidRDefault="000D732C" w:rsidP="000D732C">
      <w:pPr>
        <w:pStyle w:val="10"/>
      </w:pPr>
      <w:bookmarkStart w:id="24" w:name="_Toc435803492"/>
      <w:bookmarkStart w:id="25" w:name="_Toc435803465"/>
      <w:bookmarkStart w:id="26" w:name="_Toc421527204"/>
      <w:bookmarkStart w:id="27" w:name="_Toc409432296"/>
      <w:bookmarkStart w:id="28" w:name="_Toc409432251"/>
      <w:bookmarkStart w:id="29" w:name="_Toc409432088"/>
      <w:bookmarkStart w:id="30" w:name="_Toc409432009"/>
      <w:bookmarkStart w:id="31" w:name="_Toc361733822"/>
      <w:bookmarkStart w:id="32" w:name="_Toc66255275"/>
      <w:r>
        <w:t xml:space="preserve">2. </w:t>
      </w:r>
      <w:bookmarkEnd w:id="24"/>
      <w:bookmarkEnd w:id="25"/>
      <w:bookmarkEnd w:id="26"/>
      <w:bookmarkEnd w:id="27"/>
      <w:bookmarkEnd w:id="28"/>
      <w:bookmarkEnd w:id="29"/>
      <w:bookmarkEnd w:id="30"/>
      <w:bookmarkEnd w:id="31"/>
      <w:bookmarkEnd w:id="32"/>
      <w:r>
        <w:t>Информационная база для анализа</w:t>
      </w:r>
    </w:p>
    <w:p w:rsidR="000D732C" w:rsidRDefault="000D732C" w:rsidP="000D732C">
      <w:pPr>
        <w:pStyle w:val="10"/>
      </w:pPr>
      <w:bookmarkStart w:id="33" w:name="_Toc66255276"/>
    </w:p>
    <w:bookmarkEnd w:id="33"/>
    <w:p w:rsidR="000D732C" w:rsidRDefault="000D732C" w:rsidP="000D732C">
      <w:pPr>
        <w:tabs>
          <w:tab w:val="left" w:pos="1080"/>
          <w:tab w:val="num" w:pos="3960"/>
        </w:tabs>
        <w:spacing w:before="120"/>
        <w:ind w:firstLine="720"/>
        <w:jc w:val="both"/>
      </w:pPr>
      <w:r>
        <w:t>2.1 Оценка финансового положения Заемщика – юридического лица-резидента проводится на основании бухгалтерской отчетности. Отчетность, запрашиваемая в целях проведения финансового анализа, должна соответствовать определенным требованиям (отчетность должна быть предоставлена не менее чем за финансовый год, содержать бухгалтерский баланс и отчет о финансовых результатах; отчетность должна быть заверена подписью и печатью уполномоченного лица).</w:t>
      </w:r>
    </w:p>
    <w:p w:rsidR="000D732C" w:rsidRDefault="000D732C" w:rsidP="000D732C">
      <w:pPr>
        <w:tabs>
          <w:tab w:val="num" w:pos="3960"/>
        </w:tabs>
        <w:spacing w:before="120"/>
        <w:ind w:firstLine="720"/>
        <w:jc w:val="both"/>
        <w:rPr>
          <w:bCs/>
        </w:rPr>
      </w:pPr>
      <w:r>
        <w:rPr>
          <w:bCs/>
        </w:rPr>
        <w:t>2.2</w:t>
      </w:r>
      <w:proofErr w:type="gramStart"/>
      <w:r>
        <w:rPr>
          <w:bCs/>
        </w:rPr>
        <w:t xml:space="preserve"> Н</w:t>
      </w:r>
      <w:proofErr w:type="gramEnd"/>
      <w:r>
        <w:rPr>
          <w:bCs/>
        </w:rPr>
        <w:t>а основе представленных документов проводится финансово-экономический анализ хозяйственной деятельности Заемщика, который осуществляется с использованием расчетного файла, приведенного в приложении 1.</w:t>
      </w:r>
    </w:p>
    <w:p w:rsidR="000D732C" w:rsidRDefault="000D732C" w:rsidP="000D732C">
      <w:pPr>
        <w:tabs>
          <w:tab w:val="num" w:pos="3960"/>
        </w:tabs>
        <w:spacing w:before="120"/>
        <w:ind w:firstLine="720"/>
        <w:jc w:val="both"/>
        <w:rPr>
          <w:bCs/>
        </w:rPr>
      </w:pPr>
      <w:r>
        <w:rPr>
          <w:bCs/>
        </w:rPr>
        <w:t>2.3</w:t>
      </w:r>
      <w:r>
        <w:t xml:space="preserve"> </w:t>
      </w:r>
      <w:r>
        <w:rPr>
          <w:bCs/>
        </w:rPr>
        <w:t>Критерии, позволяющие признать бухгалтерскую отчетность недостоверной.</w:t>
      </w:r>
    </w:p>
    <w:p w:rsidR="000D732C" w:rsidRDefault="000D732C" w:rsidP="000D732C">
      <w:pPr>
        <w:tabs>
          <w:tab w:val="num" w:pos="3960"/>
        </w:tabs>
        <w:spacing w:before="120"/>
        <w:ind w:firstLine="720"/>
        <w:jc w:val="both"/>
        <w:rPr>
          <w:bCs/>
        </w:rPr>
      </w:pPr>
      <w:r>
        <w:rPr>
          <w:bCs/>
        </w:rPr>
        <w:t>Информация считается объективной и достоверной, если она не имеет противоречий между собой. Информация считается актуальной, если она датирована сроком не более месяца от даты проведения анализа.</w:t>
      </w:r>
    </w:p>
    <w:p w:rsidR="000D732C" w:rsidRDefault="000D732C" w:rsidP="000D732C">
      <w:pPr>
        <w:tabs>
          <w:tab w:val="num" w:pos="3960"/>
        </w:tabs>
        <w:spacing w:before="120"/>
        <w:ind w:firstLine="720"/>
        <w:jc w:val="both"/>
        <w:rPr>
          <w:b/>
        </w:rPr>
      </w:pPr>
    </w:p>
    <w:p w:rsidR="000D732C" w:rsidRDefault="000D732C" w:rsidP="000D732C">
      <w:pPr>
        <w:pStyle w:val="10"/>
      </w:pPr>
      <w:r>
        <w:t>3. Анализ финансовых результатов</w:t>
      </w:r>
    </w:p>
    <w:p w:rsidR="000D732C" w:rsidRDefault="000D732C" w:rsidP="000D732C">
      <w:pPr>
        <w:tabs>
          <w:tab w:val="num" w:pos="2880"/>
        </w:tabs>
        <w:spacing w:before="120"/>
        <w:ind w:firstLine="708"/>
        <w:jc w:val="both"/>
        <w:rPr>
          <w:bCs/>
        </w:rPr>
      </w:pPr>
      <w:r>
        <w:rPr>
          <w:bCs/>
        </w:rPr>
        <w:t xml:space="preserve">3.1 Анализ финансовых результатов деятельности Заемщика осуществляется на основе данных Отчета о прибылях и </w:t>
      </w:r>
      <w:proofErr w:type="gramStart"/>
      <w:r>
        <w:rPr>
          <w:bCs/>
        </w:rPr>
        <w:t>убытках</w:t>
      </w:r>
      <w:proofErr w:type="gramEnd"/>
      <w:r>
        <w:rPr>
          <w:bCs/>
        </w:rPr>
        <w:t xml:space="preserve">/о финансовых результатах (годовой отчет) (форма № 0710002). Для проведения анализа следует использовать расчетный файл – вкладка баланс – Таблицу «Отчет о финансовых результатах» (см. Таблицу 1). Показатели Таблицы рассчитываются на основании Отчета о прибылях и </w:t>
      </w:r>
      <w:proofErr w:type="gramStart"/>
      <w:r>
        <w:rPr>
          <w:bCs/>
        </w:rPr>
        <w:t>убытках</w:t>
      </w:r>
      <w:proofErr w:type="gramEnd"/>
      <w:r>
        <w:rPr>
          <w:bCs/>
        </w:rPr>
        <w:t xml:space="preserve">/о финансовых результатах (годовой отчет) путем анализа показателей формы. </w:t>
      </w:r>
    </w:p>
    <w:bookmarkEnd w:id="12"/>
    <w:bookmarkEnd w:id="13"/>
    <w:bookmarkEnd w:id="14"/>
    <w:p w:rsidR="000D732C" w:rsidRDefault="000D732C" w:rsidP="000D732C">
      <w:pPr>
        <w:pStyle w:val="10"/>
        <w:jc w:val="left"/>
        <w:rPr>
          <w:bCs w:val="0"/>
        </w:rPr>
      </w:pPr>
      <w:r>
        <w:rPr>
          <w:bCs w:val="0"/>
        </w:rPr>
        <w:t xml:space="preserve"> </w:t>
      </w:r>
    </w:p>
    <w:bookmarkEnd w:id="15"/>
    <w:bookmarkEnd w:id="16"/>
    <w:bookmarkEnd w:id="17"/>
    <w:bookmarkEnd w:id="18"/>
    <w:bookmarkEnd w:id="19"/>
    <w:bookmarkEnd w:id="20"/>
    <w:p w:rsidR="000D732C" w:rsidRDefault="000D732C" w:rsidP="000D732C">
      <w:pPr>
        <w:ind w:left="1077"/>
        <w:jc w:val="right"/>
        <w:rPr>
          <w:b/>
          <w:i/>
          <w:iCs/>
        </w:rPr>
      </w:pPr>
      <w:r>
        <w:rPr>
          <w:b/>
          <w:i/>
          <w:iCs/>
        </w:rPr>
        <w:t>Таблица 1</w:t>
      </w:r>
    </w:p>
    <w:p w:rsidR="000D732C" w:rsidRDefault="000D732C" w:rsidP="000D732C">
      <w:pPr>
        <w:widowControl w:val="0"/>
        <w:autoSpaceDE w:val="0"/>
        <w:autoSpaceDN w:val="0"/>
        <w:adjustRightInd w:val="0"/>
        <w:jc w:val="center"/>
        <w:rPr>
          <w:sz w:val="22"/>
        </w:rPr>
      </w:pPr>
      <w:r>
        <w:rPr>
          <w:b/>
          <w:bCs/>
          <w:sz w:val="22"/>
        </w:rPr>
        <w:t>ФИНАНСОВЫЕ РЕЗУЛЬТАТЫ</w:t>
      </w:r>
    </w:p>
    <w:p w:rsidR="000D732C" w:rsidRDefault="000D732C" w:rsidP="000D732C">
      <w:pPr>
        <w:widowControl w:val="0"/>
        <w:autoSpaceDE w:val="0"/>
        <w:autoSpaceDN w:val="0"/>
        <w:adjustRightInd w:val="0"/>
        <w:jc w:val="right"/>
        <w:rPr>
          <w:sz w:val="22"/>
        </w:rPr>
      </w:pPr>
    </w:p>
    <w:tbl>
      <w:tblPr>
        <w:tblW w:w="10017" w:type="dxa"/>
        <w:tblLook w:val="00A0" w:firstRow="1" w:lastRow="0" w:firstColumn="1" w:lastColumn="0" w:noHBand="0" w:noVBand="0"/>
      </w:tblPr>
      <w:tblGrid>
        <w:gridCol w:w="3828"/>
        <w:gridCol w:w="976"/>
        <w:gridCol w:w="1876"/>
        <w:gridCol w:w="1220"/>
        <w:gridCol w:w="2117"/>
      </w:tblGrid>
      <w:tr w:rsidR="000D732C" w:rsidTr="000D732C">
        <w:trPr>
          <w:trHeight w:val="300"/>
        </w:trPr>
        <w:tc>
          <w:tcPr>
            <w:tcW w:w="3828" w:type="dxa"/>
            <w:shd w:val="clear" w:color="auto" w:fill="FFFFFF"/>
            <w:noWrap/>
            <w:vAlign w:val="bottom"/>
            <w:hideMark/>
          </w:tcPr>
          <w:p w:rsidR="000D732C" w:rsidRDefault="000D732C">
            <w:pPr>
              <w:rPr>
                <w:color w:val="000000"/>
              </w:rPr>
            </w:pPr>
            <w:r>
              <w:rPr>
                <w:color w:val="000000"/>
              </w:rPr>
              <w:t> </w:t>
            </w:r>
          </w:p>
        </w:tc>
        <w:tc>
          <w:tcPr>
            <w:tcW w:w="976" w:type="dxa"/>
            <w:shd w:val="clear" w:color="auto" w:fill="FFFFFF"/>
            <w:noWrap/>
            <w:vAlign w:val="bottom"/>
            <w:hideMark/>
          </w:tcPr>
          <w:p w:rsidR="000D732C" w:rsidRDefault="000D732C">
            <w:pPr>
              <w:rPr>
                <w:color w:val="000000"/>
              </w:rPr>
            </w:pPr>
            <w:r>
              <w:rPr>
                <w:color w:val="000000"/>
              </w:rPr>
              <w:t> </w:t>
            </w:r>
          </w:p>
        </w:tc>
        <w:tc>
          <w:tcPr>
            <w:tcW w:w="3096" w:type="dxa"/>
            <w:gridSpan w:val="2"/>
            <w:tcBorders>
              <w:top w:val="single" w:sz="4" w:space="0" w:color="auto"/>
              <w:left w:val="single" w:sz="4" w:space="0" w:color="auto"/>
              <w:bottom w:val="single" w:sz="4" w:space="0" w:color="auto"/>
              <w:right w:val="single" w:sz="4" w:space="0" w:color="auto"/>
            </w:tcBorders>
            <w:noWrap/>
            <w:vAlign w:val="bottom"/>
            <w:hideMark/>
          </w:tcPr>
          <w:p w:rsidR="000D732C" w:rsidRDefault="000D732C">
            <w:pPr>
              <w:jc w:val="center"/>
              <w:rPr>
                <w:color w:val="000000"/>
              </w:rPr>
            </w:pPr>
            <w:r>
              <w:rPr>
                <w:color w:val="000000"/>
              </w:rPr>
              <w:t>Изменение показателя</w:t>
            </w:r>
          </w:p>
        </w:tc>
        <w:tc>
          <w:tcPr>
            <w:tcW w:w="211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D732C" w:rsidRDefault="000D732C">
            <w:pPr>
              <w:jc w:val="center"/>
              <w:rPr>
                <w:color w:val="000000"/>
              </w:rPr>
            </w:pPr>
            <w:r>
              <w:rPr>
                <w:color w:val="000000"/>
              </w:rPr>
              <w:t>Среднегодовая величина</w:t>
            </w:r>
          </w:p>
        </w:tc>
      </w:tr>
      <w:tr w:rsidR="000D732C" w:rsidTr="000D732C">
        <w:trPr>
          <w:trHeight w:val="600"/>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732C" w:rsidRDefault="000D732C">
            <w:pPr>
              <w:jc w:val="center"/>
              <w:rPr>
                <w:color w:val="000000"/>
              </w:rPr>
            </w:pPr>
            <w:r>
              <w:rPr>
                <w:color w:val="000000"/>
              </w:rPr>
              <w:t>Наименование показателя</w:t>
            </w:r>
          </w:p>
        </w:tc>
        <w:tc>
          <w:tcPr>
            <w:tcW w:w="976" w:type="dxa"/>
            <w:tcBorders>
              <w:top w:val="single" w:sz="4" w:space="0" w:color="auto"/>
              <w:left w:val="nil"/>
              <w:bottom w:val="single" w:sz="4" w:space="0" w:color="auto"/>
              <w:right w:val="single" w:sz="4" w:space="0" w:color="auto"/>
            </w:tcBorders>
            <w:shd w:val="clear" w:color="auto" w:fill="FFFFFF"/>
            <w:vAlign w:val="center"/>
            <w:hideMark/>
          </w:tcPr>
          <w:p w:rsidR="000D732C" w:rsidRDefault="000D732C">
            <w:pPr>
              <w:jc w:val="center"/>
              <w:rPr>
                <w:color w:val="000000"/>
              </w:rPr>
            </w:pPr>
            <w:r>
              <w:rPr>
                <w:color w:val="000000"/>
              </w:rPr>
              <w:t>Код</w:t>
            </w:r>
          </w:p>
        </w:tc>
        <w:tc>
          <w:tcPr>
            <w:tcW w:w="1876" w:type="dxa"/>
            <w:tcBorders>
              <w:top w:val="nil"/>
              <w:left w:val="nil"/>
              <w:bottom w:val="single" w:sz="4" w:space="0" w:color="auto"/>
              <w:right w:val="single" w:sz="4" w:space="0" w:color="auto"/>
            </w:tcBorders>
            <w:shd w:val="clear" w:color="auto" w:fill="FFFFFF"/>
            <w:vAlign w:val="center"/>
            <w:hideMark/>
          </w:tcPr>
          <w:p w:rsidR="000D732C" w:rsidRDefault="000D732C">
            <w:pPr>
              <w:jc w:val="center"/>
              <w:rPr>
                <w:color w:val="000000"/>
              </w:rPr>
            </w:pPr>
            <w:r>
              <w:rPr>
                <w:color w:val="000000"/>
              </w:rPr>
              <w:t>тыс. руб.</w:t>
            </w:r>
          </w:p>
        </w:tc>
        <w:tc>
          <w:tcPr>
            <w:tcW w:w="1220" w:type="dxa"/>
            <w:tcBorders>
              <w:top w:val="nil"/>
              <w:left w:val="nil"/>
              <w:bottom w:val="single" w:sz="4" w:space="0" w:color="auto"/>
              <w:right w:val="single" w:sz="4" w:space="0" w:color="auto"/>
            </w:tcBorders>
            <w:shd w:val="clear" w:color="auto" w:fill="FFFFFF"/>
            <w:vAlign w:val="center"/>
            <w:hideMark/>
          </w:tcPr>
          <w:p w:rsidR="000D732C" w:rsidRDefault="000D732C">
            <w:pPr>
              <w:jc w:val="center"/>
              <w:rPr>
                <w:color w:val="000000"/>
              </w:rPr>
            </w:pPr>
            <w:r>
              <w:rPr>
                <w:color w:val="000000"/>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D732C" w:rsidRDefault="000D732C">
            <w:pPr>
              <w:rPr>
                <w:color w:val="000000"/>
              </w:rPr>
            </w:pPr>
          </w:p>
        </w:tc>
      </w:tr>
      <w:tr w:rsidR="000D732C" w:rsidTr="000D732C">
        <w:trPr>
          <w:trHeight w:val="375"/>
        </w:trPr>
        <w:tc>
          <w:tcPr>
            <w:tcW w:w="3828" w:type="dxa"/>
            <w:tcBorders>
              <w:top w:val="nil"/>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Выручка</w:t>
            </w:r>
          </w:p>
        </w:tc>
        <w:tc>
          <w:tcPr>
            <w:tcW w:w="976" w:type="dxa"/>
            <w:tcBorders>
              <w:top w:val="nil"/>
              <w:left w:val="nil"/>
              <w:bottom w:val="single" w:sz="4" w:space="0" w:color="auto"/>
              <w:right w:val="single" w:sz="4" w:space="0" w:color="auto"/>
            </w:tcBorders>
            <w:noWrap/>
            <w:vAlign w:val="center"/>
            <w:hideMark/>
          </w:tcPr>
          <w:p w:rsidR="000D732C" w:rsidRDefault="000D732C">
            <w:pPr>
              <w:jc w:val="center"/>
              <w:rPr>
                <w:color w:val="000000"/>
              </w:rPr>
            </w:pPr>
            <w:r>
              <w:rPr>
                <w:color w:val="000000"/>
              </w:rPr>
              <w:t>2110</w:t>
            </w:r>
          </w:p>
        </w:tc>
        <w:tc>
          <w:tcPr>
            <w:tcW w:w="1876" w:type="dxa"/>
            <w:tcBorders>
              <w:top w:val="nil"/>
              <w:left w:val="nil"/>
              <w:bottom w:val="single" w:sz="4" w:space="0" w:color="auto"/>
              <w:right w:val="single" w:sz="4" w:space="0" w:color="auto"/>
            </w:tcBorders>
            <w:noWrap/>
            <w:vAlign w:val="center"/>
            <w:hideMark/>
          </w:tcPr>
          <w:p w:rsidR="000D732C" w:rsidRDefault="000D732C">
            <w:pPr>
              <w:rPr>
                <w:color w:val="000000"/>
              </w:rPr>
            </w:pPr>
            <w:r>
              <w:rPr>
                <w:color w:val="000000"/>
              </w:rPr>
              <w:t xml:space="preserve">                             - </w:t>
            </w:r>
          </w:p>
        </w:tc>
        <w:tc>
          <w:tcPr>
            <w:tcW w:w="1220" w:type="dxa"/>
            <w:tcBorders>
              <w:top w:val="nil"/>
              <w:left w:val="nil"/>
              <w:bottom w:val="single" w:sz="4" w:space="0" w:color="auto"/>
              <w:right w:val="single" w:sz="4" w:space="0" w:color="auto"/>
            </w:tcBorders>
            <w:noWrap/>
            <w:vAlign w:val="center"/>
            <w:hideMark/>
          </w:tcPr>
          <w:p w:rsidR="000D732C" w:rsidRDefault="000D732C">
            <w:pPr>
              <w:jc w:val="right"/>
              <w:rPr>
                <w:color w:val="000000"/>
              </w:rPr>
            </w:pPr>
            <w:r>
              <w:rPr>
                <w:color w:val="000000"/>
              </w:rPr>
              <w:t>0,0%</w:t>
            </w:r>
          </w:p>
        </w:tc>
        <w:tc>
          <w:tcPr>
            <w:tcW w:w="2117" w:type="dxa"/>
            <w:tcBorders>
              <w:top w:val="nil"/>
              <w:left w:val="nil"/>
              <w:bottom w:val="single" w:sz="4" w:space="0" w:color="auto"/>
              <w:right w:val="single" w:sz="4" w:space="0" w:color="auto"/>
            </w:tcBorders>
            <w:noWrap/>
            <w:vAlign w:val="center"/>
            <w:hideMark/>
          </w:tcPr>
          <w:p w:rsidR="000D732C" w:rsidRDefault="000D732C">
            <w:pPr>
              <w:rPr>
                <w:color w:val="000000"/>
              </w:rPr>
            </w:pPr>
            <w:r>
              <w:rPr>
                <w:color w:val="000000"/>
              </w:rPr>
              <w:t xml:space="preserve">                                         - </w:t>
            </w:r>
          </w:p>
        </w:tc>
      </w:tr>
      <w:tr w:rsidR="000D732C" w:rsidTr="000D732C">
        <w:trPr>
          <w:trHeight w:val="300"/>
        </w:trPr>
        <w:tc>
          <w:tcPr>
            <w:tcW w:w="3828" w:type="dxa"/>
            <w:tcBorders>
              <w:top w:val="nil"/>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Себестоимость продаж</w:t>
            </w:r>
          </w:p>
        </w:tc>
        <w:tc>
          <w:tcPr>
            <w:tcW w:w="976" w:type="dxa"/>
            <w:tcBorders>
              <w:top w:val="nil"/>
              <w:left w:val="nil"/>
              <w:bottom w:val="single" w:sz="4" w:space="0" w:color="auto"/>
              <w:right w:val="single" w:sz="4" w:space="0" w:color="auto"/>
            </w:tcBorders>
            <w:noWrap/>
            <w:vAlign w:val="center"/>
            <w:hideMark/>
          </w:tcPr>
          <w:p w:rsidR="000D732C" w:rsidRDefault="000D732C">
            <w:pPr>
              <w:jc w:val="center"/>
              <w:rPr>
                <w:color w:val="000000"/>
              </w:rPr>
            </w:pPr>
            <w:r>
              <w:rPr>
                <w:color w:val="000000"/>
              </w:rPr>
              <w:t>2120</w:t>
            </w:r>
          </w:p>
        </w:tc>
        <w:tc>
          <w:tcPr>
            <w:tcW w:w="1876" w:type="dxa"/>
            <w:tcBorders>
              <w:top w:val="nil"/>
              <w:left w:val="nil"/>
              <w:bottom w:val="single" w:sz="4" w:space="0" w:color="auto"/>
              <w:right w:val="single" w:sz="4" w:space="0" w:color="auto"/>
            </w:tcBorders>
            <w:noWrap/>
            <w:vAlign w:val="center"/>
            <w:hideMark/>
          </w:tcPr>
          <w:p w:rsidR="000D732C" w:rsidRDefault="000D732C">
            <w:pPr>
              <w:rPr>
                <w:color w:val="000000"/>
              </w:rPr>
            </w:pPr>
            <w:r>
              <w:rPr>
                <w:color w:val="000000"/>
              </w:rPr>
              <w:t xml:space="preserve">                             - </w:t>
            </w:r>
          </w:p>
        </w:tc>
        <w:tc>
          <w:tcPr>
            <w:tcW w:w="1220" w:type="dxa"/>
            <w:tcBorders>
              <w:top w:val="nil"/>
              <w:left w:val="nil"/>
              <w:bottom w:val="single" w:sz="4" w:space="0" w:color="auto"/>
              <w:right w:val="single" w:sz="4" w:space="0" w:color="auto"/>
            </w:tcBorders>
            <w:noWrap/>
            <w:vAlign w:val="center"/>
            <w:hideMark/>
          </w:tcPr>
          <w:p w:rsidR="000D732C" w:rsidRDefault="000D732C">
            <w:pPr>
              <w:jc w:val="right"/>
              <w:rPr>
                <w:color w:val="000000"/>
              </w:rPr>
            </w:pPr>
            <w:r>
              <w:rPr>
                <w:color w:val="000000"/>
              </w:rPr>
              <w:t>0,0%</w:t>
            </w:r>
          </w:p>
        </w:tc>
        <w:tc>
          <w:tcPr>
            <w:tcW w:w="2117" w:type="dxa"/>
            <w:tcBorders>
              <w:top w:val="nil"/>
              <w:left w:val="nil"/>
              <w:bottom w:val="single" w:sz="4" w:space="0" w:color="auto"/>
              <w:right w:val="single" w:sz="4" w:space="0" w:color="auto"/>
            </w:tcBorders>
            <w:noWrap/>
            <w:vAlign w:val="center"/>
            <w:hideMark/>
          </w:tcPr>
          <w:p w:rsidR="000D732C" w:rsidRDefault="000D732C">
            <w:pPr>
              <w:rPr>
                <w:color w:val="000000"/>
              </w:rPr>
            </w:pPr>
            <w:r>
              <w:rPr>
                <w:color w:val="000000"/>
              </w:rPr>
              <w:t xml:space="preserve">                                         - </w:t>
            </w:r>
          </w:p>
        </w:tc>
      </w:tr>
      <w:tr w:rsidR="000D732C" w:rsidTr="000D732C">
        <w:trPr>
          <w:trHeight w:val="300"/>
        </w:trPr>
        <w:tc>
          <w:tcPr>
            <w:tcW w:w="3828" w:type="dxa"/>
            <w:tcBorders>
              <w:top w:val="nil"/>
              <w:left w:val="single" w:sz="4" w:space="0" w:color="auto"/>
              <w:bottom w:val="single" w:sz="4" w:space="0" w:color="auto"/>
              <w:right w:val="single" w:sz="4" w:space="0" w:color="auto"/>
            </w:tcBorders>
            <w:vAlign w:val="bottom"/>
            <w:hideMark/>
          </w:tcPr>
          <w:p w:rsidR="000D732C" w:rsidRDefault="000D732C">
            <w:pPr>
              <w:rPr>
                <w:b/>
                <w:bCs/>
                <w:color w:val="000000"/>
              </w:rPr>
            </w:pPr>
            <w:r>
              <w:rPr>
                <w:b/>
                <w:bCs/>
                <w:color w:val="000000"/>
              </w:rPr>
              <w:t>Валовая прибыль (убыток)</w:t>
            </w:r>
          </w:p>
        </w:tc>
        <w:tc>
          <w:tcPr>
            <w:tcW w:w="976" w:type="dxa"/>
            <w:tcBorders>
              <w:top w:val="nil"/>
              <w:left w:val="nil"/>
              <w:bottom w:val="single" w:sz="4" w:space="0" w:color="auto"/>
              <w:right w:val="single" w:sz="4" w:space="0" w:color="auto"/>
            </w:tcBorders>
            <w:noWrap/>
            <w:vAlign w:val="center"/>
            <w:hideMark/>
          </w:tcPr>
          <w:p w:rsidR="000D732C" w:rsidRDefault="000D732C">
            <w:pPr>
              <w:jc w:val="center"/>
              <w:rPr>
                <w:b/>
                <w:bCs/>
                <w:color w:val="000000"/>
              </w:rPr>
            </w:pPr>
            <w:r>
              <w:rPr>
                <w:b/>
                <w:bCs/>
                <w:color w:val="000000"/>
              </w:rPr>
              <w:t>2100</w:t>
            </w:r>
          </w:p>
        </w:tc>
        <w:tc>
          <w:tcPr>
            <w:tcW w:w="1876" w:type="dxa"/>
            <w:tcBorders>
              <w:top w:val="nil"/>
              <w:left w:val="nil"/>
              <w:bottom w:val="single" w:sz="4" w:space="0" w:color="auto"/>
              <w:right w:val="single" w:sz="4" w:space="0" w:color="auto"/>
            </w:tcBorders>
            <w:noWrap/>
            <w:vAlign w:val="center"/>
            <w:hideMark/>
          </w:tcPr>
          <w:p w:rsidR="000D732C" w:rsidRDefault="000D732C">
            <w:pPr>
              <w:rPr>
                <w:b/>
                <w:bCs/>
                <w:color w:val="000000"/>
              </w:rPr>
            </w:pPr>
            <w:r>
              <w:rPr>
                <w:b/>
                <w:bCs/>
                <w:color w:val="000000"/>
              </w:rPr>
              <w:t xml:space="preserve">                             - </w:t>
            </w:r>
          </w:p>
        </w:tc>
        <w:tc>
          <w:tcPr>
            <w:tcW w:w="1220" w:type="dxa"/>
            <w:tcBorders>
              <w:top w:val="nil"/>
              <w:left w:val="nil"/>
              <w:bottom w:val="single" w:sz="4" w:space="0" w:color="auto"/>
              <w:right w:val="single" w:sz="4" w:space="0" w:color="auto"/>
            </w:tcBorders>
            <w:noWrap/>
            <w:vAlign w:val="center"/>
            <w:hideMark/>
          </w:tcPr>
          <w:p w:rsidR="000D732C" w:rsidRDefault="000D732C">
            <w:pPr>
              <w:jc w:val="right"/>
              <w:rPr>
                <w:b/>
                <w:bCs/>
                <w:color w:val="000000"/>
              </w:rPr>
            </w:pPr>
            <w:r>
              <w:rPr>
                <w:b/>
                <w:bCs/>
                <w:color w:val="000000"/>
              </w:rPr>
              <w:t>0,0%</w:t>
            </w:r>
          </w:p>
        </w:tc>
        <w:tc>
          <w:tcPr>
            <w:tcW w:w="2117" w:type="dxa"/>
            <w:tcBorders>
              <w:top w:val="nil"/>
              <w:left w:val="nil"/>
              <w:bottom w:val="single" w:sz="4" w:space="0" w:color="auto"/>
              <w:right w:val="single" w:sz="4" w:space="0" w:color="auto"/>
            </w:tcBorders>
            <w:noWrap/>
            <w:vAlign w:val="center"/>
            <w:hideMark/>
          </w:tcPr>
          <w:p w:rsidR="000D732C" w:rsidRDefault="000D732C">
            <w:pPr>
              <w:rPr>
                <w:b/>
                <w:bCs/>
                <w:color w:val="000000"/>
              </w:rPr>
            </w:pPr>
            <w:r>
              <w:rPr>
                <w:b/>
                <w:bCs/>
                <w:color w:val="000000"/>
              </w:rPr>
              <w:t xml:space="preserve">                                         - </w:t>
            </w:r>
          </w:p>
        </w:tc>
      </w:tr>
      <w:tr w:rsidR="000D732C" w:rsidTr="000D732C">
        <w:trPr>
          <w:trHeight w:val="300"/>
        </w:trPr>
        <w:tc>
          <w:tcPr>
            <w:tcW w:w="3828" w:type="dxa"/>
            <w:tcBorders>
              <w:top w:val="nil"/>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Коммерческие расходы</w:t>
            </w:r>
          </w:p>
        </w:tc>
        <w:tc>
          <w:tcPr>
            <w:tcW w:w="976" w:type="dxa"/>
            <w:tcBorders>
              <w:top w:val="nil"/>
              <w:left w:val="nil"/>
              <w:bottom w:val="single" w:sz="4" w:space="0" w:color="auto"/>
              <w:right w:val="single" w:sz="4" w:space="0" w:color="auto"/>
            </w:tcBorders>
            <w:noWrap/>
            <w:vAlign w:val="center"/>
            <w:hideMark/>
          </w:tcPr>
          <w:p w:rsidR="000D732C" w:rsidRDefault="000D732C">
            <w:pPr>
              <w:jc w:val="center"/>
              <w:rPr>
                <w:color w:val="000000"/>
              </w:rPr>
            </w:pPr>
            <w:r>
              <w:rPr>
                <w:color w:val="000000"/>
              </w:rPr>
              <w:t>2210</w:t>
            </w:r>
          </w:p>
        </w:tc>
        <w:tc>
          <w:tcPr>
            <w:tcW w:w="1876" w:type="dxa"/>
            <w:tcBorders>
              <w:top w:val="nil"/>
              <w:left w:val="nil"/>
              <w:bottom w:val="single" w:sz="4" w:space="0" w:color="auto"/>
              <w:right w:val="single" w:sz="4" w:space="0" w:color="auto"/>
            </w:tcBorders>
            <w:noWrap/>
            <w:vAlign w:val="center"/>
            <w:hideMark/>
          </w:tcPr>
          <w:p w:rsidR="000D732C" w:rsidRDefault="000D732C">
            <w:pPr>
              <w:rPr>
                <w:color w:val="000000"/>
              </w:rPr>
            </w:pPr>
            <w:r>
              <w:rPr>
                <w:color w:val="000000"/>
              </w:rPr>
              <w:t xml:space="preserve">                             - </w:t>
            </w:r>
          </w:p>
        </w:tc>
        <w:tc>
          <w:tcPr>
            <w:tcW w:w="1220" w:type="dxa"/>
            <w:tcBorders>
              <w:top w:val="nil"/>
              <w:left w:val="nil"/>
              <w:bottom w:val="single" w:sz="4" w:space="0" w:color="auto"/>
              <w:right w:val="single" w:sz="4" w:space="0" w:color="auto"/>
            </w:tcBorders>
            <w:noWrap/>
            <w:vAlign w:val="center"/>
            <w:hideMark/>
          </w:tcPr>
          <w:p w:rsidR="000D732C" w:rsidRDefault="000D732C">
            <w:pPr>
              <w:jc w:val="right"/>
              <w:rPr>
                <w:color w:val="000000"/>
              </w:rPr>
            </w:pPr>
            <w:r>
              <w:rPr>
                <w:color w:val="000000"/>
              </w:rPr>
              <w:t>0,0%</w:t>
            </w:r>
          </w:p>
        </w:tc>
        <w:tc>
          <w:tcPr>
            <w:tcW w:w="2117" w:type="dxa"/>
            <w:tcBorders>
              <w:top w:val="nil"/>
              <w:left w:val="nil"/>
              <w:bottom w:val="single" w:sz="4" w:space="0" w:color="auto"/>
              <w:right w:val="single" w:sz="4" w:space="0" w:color="auto"/>
            </w:tcBorders>
            <w:noWrap/>
            <w:vAlign w:val="center"/>
            <w:hideMark/>
          </w:tcPr>
          <w:p w:rsidR="000D732C" w:rsidRDefault="000D732C">
            <w:pPr>
              <w:rPr>
                <w:color w:val="000000"/>
              </w:rPr>
            </w:pPr>
            <w:r>
              <w:rPr>
                <w:color w:val="000000"/>
              </w:rPr>
              <w:t xml:space="preserve">                                         - </w:t>
            </w:r>
          </w:p>
        </w:tc>
      </w:tr>
      <w:tr w:rsidR="000D732C" w:rsidTr="000D732C">
        <w:trPr>
          <w:trHeight w:val="300"/>
        </w:trPr>
        <w:tc>
          <w:tcPr>
            <w:tcW w:w="3828" w:type="dxa"/>
            <w:tcBorders>
              <w:top w:val="nil"/>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Управленческие расходы</w:t>
            </w:r>
          </w:p>
        </w:tc>
        <w:tc>
          <w:tcPr>
            <w:tcW w:w="976" w:type="dxa"/>
            <w:tcBorders>
              <w:top w:val="nil"/>
              <w:left w:val="nil"/>
              <w:bottom w:val="single" w:sz="4" w:space="0" w:color="auto"/>
              <w:right w:val="single" w:sz="4" w:space="0" w:color="auto"/>
            </w:tcBorders>
            <w:noWrap/>
            <w:vAlign w:val="center"/>
            <w:hideMark/>
          </w:tcPr>
          <w:p w:rsidR="000D732C" w:rsidRDefault="000D732C">
            <w:pPr>
              <w:jc w:val="center"/>
              <w:rPr>
                <w:color w:val="000000"/>
              </w:rPr>
            </w:pPr>
            <w:r>
              <w:rPr>
                <w:color w:val="000000"/>
              </w:rPr>
              <w:t>2220</w:t>
            </w:r>
          </w:p>
        </w:tc>
        <w:tc>
          <w:tcPr>
            <w:tcW w:w="1876" w:type="dxa"/>
            <w:tcBorders>
              <w:top w:val="nil"/>
              <w:left w:val="nil"/>
              <w:bottom w:val="single" w:sz="4" w:space="0" w:color="auto"/>
              <w:right w:val="single" w:sz="4" w:space="0" w:color="auto"/>
            </w:tcBorders>
            <w:noWrap/>
            <w:vAlign w:val="center"/>
            <w:hideMark/>
          </w:tcPr>
          <w:p w:rsidR="000D732C" w:rsidRDefault="000D732C">
            <w:pPr>
              <w:rPr>
                <w:color w:val="000000"/>
              </w:rPr>
            </w:pPr>
            <w:r>
              <w:rPr>
                <w:color w:val="000000"/>
              </w:rPr>
              <w:t xml:space="preserve">                             - </w:t>
            </w:r>
          </w:p>
        </w:tc>
        <w:tc>
          <w:tcPr>
            <w:tcW w:w="1220" w:type="dxa"/>
            <w:tcBorders>
              <w:top w:val="nil"/>
              <w:left w:val="nil"/>
              <w:bottom w:val="single" w:sz="4" w:space="0" w:color="auto"/>
              <w:right w:val="single" w:sz="4" w:space="0" w:color="auto"/>
            </w:tcBorders>
            <w:noWrap/>
            <w:vAlign w:val="center"/>
            <w:hideMark/>
          </w:tcPr>
          <w:p w:rsidR="000D732C" w:rsidRDefault="000D732C">
            <w:pPr>
              <w:jc w:val="right"/>
              <w:rPr>
                <w:color w:val="000000"/>
              </w:rPr>
            </w:pPr>
            <w:r>
              <w:rPr>
                <w:color w:val="000000"/>
              </w:rPr>
              <w:t>0,0%</w:t>
            </w:r>
          </w:p>
        </w:tc>
        <w:tc>
          <w:tcPr>
            <w:tcW w:w="2117" w:type="dxa"/>
            <w:tcBorders>
              <w:top w:val="nil"/>
              <w:left w:val="nil"/>
              <w:bottom w:val="single" w:sz="4" w:space="0" w:color="auto"/>
              <w:right w:val="single" w:sz="4" w:space="0" w:color="auto"/>
            </w:tcBorders>
            <w:noWrap/>
            <w:vAlign w:val="center"/>
            <w:hideMark/>
          </w:tcPr>
          <w:p w:rsidR="000D732C" w:rsidRDefault="000D732C">
            <w:pPr>
              <w:rPr>
                <w:color w:val="000000"/>
              </w:rPr>
            </w:pPr>
            <w:r>
              <w:rPr>
                <w:color w:val="000000"/>
              </w:rPr>
              <w:t xml:space="preserve">                                         - </w:t>
            </w:r>
          </w:p>
        </w:tc>
      </w:tr>
      <w:tr w:rsidR="000D732C" w:rsidTr="000D732C">
        <w:trPr>
          <w:trHeight w:val="300"/>
        </w:trPr>
        <w:tc>
          <w:tcPr>
            <w:tcW w:w="3828" w:type="dxa"/>
            <w:tcBorders>
              <w:top w:val="nil"/>
              <w:left w:val="single" w:sz="4" w:space="0" w:color="auto"/>
              <w:bottom w:val="single" w:sz="4" w:space="0" w:color="auto"/>
              <w:right w:val="single" w:sz="4" w:space="0" w:color="auto"/>
            </w:tcBorders>
            <w:vAlign w:val="bottom"/>
            <w:hideMark/>
          </w:tcPr>
          <w:p w:rsidR="000D732C" w:rsidRDefault="000D732C">
            <w:pPr>
              <w:rPr>
                <w:b/>
                <w:bCs/>
                <w:color w:val="000000"/>
              </w:rPr>
            </w:pPr>
            <w:r>
              <w:rPr>
                <w:b/>
                <w:bCs/>
                <w:color w:val="000000"/>
              </w:rPr>
              <w:t>Прибыль (убыток) от продаж</w:t>
            </w:r>
          </w:p>
        </w:tc>
        <w:tc>
          <w:tcPr>
            <w:tcW w:w="976" w:type="dxa"/>
            <w:tcBorders>
              <w:top w:val="nil"/>
              <w:left w:val="nil"/>
              <w:bottom w:val="single" w:sz="4" w:space="0" w:color="auto"/>
              <w:right w:val="single" w:sz="4" w:space="0" w:color="auto"/>
            </w:tcBorders>
            <w:noWrap/>
            <w:vAlign w:val="center"/>
            <w:hideMark/>
          </w:tcPr>
          <w:p w:rsidR="000D732C" w:rsidRDefault="000D732C">
            <w:pPr>
              <w:jc w:val="center"/>
              <w:rPr>
                <w:b/>
                <w:bCs/>
                <w:color w:val="000000"/>
              </w:rPr>
            </w:pPr>
            <w:r>
              <w:rPr>
                <w:b/>
                <w:bCs/>
                <w:color w:val="000000"/>
              </w:rPr>
              <w:t>2200</w:t>
            </w:r>
          </w:p>
        </w:tc>
        <w:tc>
          <w:tcPr>
            <w:tcW w:w="1876" w:type="dxa"/>
            <w:tcBorders>
              <w:top w:val="nil"/>
              <w:left w:val="nil"/>
              <w:bottom w:val="single" w:sz="4" w:space="0" w:color="auto"/>
              <w:right w:val="single" w:sz="4" w:space="0" w:color="auto"/>
            </w:tcBorders>
            <w:noWrap/>
            <w:vAlign w:val="center"/>
            <w:hideMark/>
          </w:tcPr>
          <w:p w:rsidR="000D732C" w:rsidRDefault="000D732C">
            <w:pPr>
              <w:rPr>
                <w:b/>
                <w:bCs/>
                <w:color w:val="000000"/>
              </w:rPr>
            </w:pPr>
            <w:r>
              <w:rPr>
                <w:b/>
                <w:bCs/>
                <w:color w:val="000000"/>
              </w:rPr>
              <w:t xml:space="preserve">                             - </w:t>
            </w:r>
          </w:p>
        </w:tc>
        <w:tc>
          <w:tcPr>
            <w:tcW w:w="1220" w:type="dxa"/>
            <w:tcBorders>
              <w:top w:val="nil"/>
              <w:left w:val="nil"/>
              <w:bottom w:val="single" w:sz="4" w:space="0" w:color="auto"/>
              <w:right w:val="single" w:sz="4" w:space="0" w:color="auto"/>
            </w:tcBorders>
            <w:noWrap/>
            <w:vAlign w:val="center"/>
            <w:hideMark/>
          </w:tcPr>
          <w:p w:rsidR="000D732C" w:rsidRDefault="000D732C">
            <w:pPr>
              <w:jc w:val="right"/>
              <w:rPr>
                <w:b/>
                <w:bCs/>
                <w:color w:val="000000"/>
              </w:rPr>
            </w:pPr>
            <w:r>
              <w:rPr>
                <w:b/>
                <w:bCs/>
                <w:color w:val="000000"/>
              </w:rPr>
              <w:t>0,0%</w:t>
            </w:r>
          </w:p>
        </w:tc>
        <w:tc>
          <w:tcPr>
            <w:tcW w:w="2117" w:type="dxa"/>
            <w:tcBorders>
              <w:top w:val="nil"/>
              <w:left w:val="nil"/>
              <w:bottom w:val="single" w:sz="4" w:space="0" w:color="auto"/>
              <w:right w:val="single" w:sz="4" w:space="0" w:color="auto"/>
            </w:tcBorders>
            <w:noWrap/>
            <w:vAlign w:val="center"/>
            <w:hideMark/>
          </w:tcPr>
          <w:p w:rsidR="000D732C" w:rsidRDefault="000D732C">
            <w:pPr>
              <w:rPr>
                <w:b/>
                <w:bCs/>
                <w:color w:val="000000"/>
              </w:rPr>
            </w:pPr>
            <w:r>
              <w:rPr>
                <w:b/>
                <w:bCs/>
                <w:color w:val="000000"/>
              </w:rPr>
              <w:t xml:space="preserve">                                         - </w:t>
            </w:r>
          </w:p>
        </w:tc>
      </w:tr>
      <w:tr w:rsidR="000D732C" w:rsidTr="000D732C">
        <w:trPr>
          <w:trHeight w:val="300"/>
        </w:trPr>
        <w:tc>
          <w:tcPr>
            <w:tcW w:w="3828" w:type="dxa"/>
            <w:tcBorders>
              <w:top w:val="nil"/>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 xml:space="preserve">Доходы от участия в других </w:t>
            </w:r>
            <w:r>
              <w:rPr>
                <w:color w:val="000000"/>
              </w:rPr>
              <w:lastRenderedPageBreak/>
              <w:t>организациях</w:t>
            </w:r>
          </w:p>
        </w:tc>
        <w:tc>
          <w:tcPr>
            <w:tcW w:w="976" w:type="dxa"/>
            <w:tcBorders>
              <w:top w:val="nil"/>
              <w:left w:val="nil"/>
              <w:bottom w:val="single" w:sz="4" w:space="0" w:color="auto"/>
              <w:right w:val="single" w:sz="4" w:space="0" w:color="auto"/>
            </w:tcBorders>
            <w:noWrap/>
            <w:vAlign w:val="center"/>
            <w:hideMark/>
          </w:tcPr>
          <w:p w:rsidR="000D732C" w:rsidRDefault="000D732C">
            <w:pPr>
              <w:jc w:val="center"/>
              <w:rPr>
                <w:color w:val="000000"/>
              </w:rPr>
            </w:pPr>
            <w:r>
              <w:rPr>
                <w:color w:val="000000"/>
              </w:rPr>
              <w:lastRenderedPageBreak/>
              <w:t>2310</w:t>
            </w:r>
          </w:p>
        </w:tc>
        <w:tc>
          <w:tcPr>
            <w:tcW w:w="1876" w:type="dxa"/>
            <w:tcBorders>
              <w:top w:val="nil"/>
              <w:left w:val="nil"/>
              <w:bottom w:val="single" w:sz="4" w:space="0" w:color="auto"/>
              <w:right w:val="single" w:sz="4" w:space="0" w:color="auto"/>
            </w:tcBorders>
            <w:noWrap/>
            <w:vAlign w:val="bottom"/>
            <w:hideMark/>
          </w:tcPr>
          <w:p w:rsidR="000D732C" w:rsidRDefault="000D732C">
            <w:r>
              <w:t xml:space="preserve">                             </w:t>
            </w:r>
            <w:r>
              <w:lastRenderedPageBreak/>
              <w:t xml:space="preserve">- </w:t>
            </w:r>
          </w:p>
        </w:tc>
        <w:tc>
          <w:tcPr>
            <w:tcW w:w="1220" w:type="dxa"/>
            <w:tcBorders>
              <w:top w:val="nil"/>
              <w:left w:val="nil"/>
              <w:bottom w:val="single" w:sz="4" w:space="0" w:color="auto"/>
              <w:right w:val="single" w:sz="4" w:space="0" w:color="auto"/>
            </w:tcBorders>
            <w:noWrap/>
            <w:vAlign w:val="bottom"/>
            <w:hideMark/>
          </w:tcPr>
          <w:p w:rsidR="000D732C" w:rsidRDefault="000D732C">
            <w:pPr>
              <w:jc w:val="right"/>
            </w:pPr>
            <w:r>
              <w:lastRenderedPageBreak/>
              <w:t>0,0%</w:t>
            </w:r>
          </w:p>
        </w:tc>
        <w:tc>
          <w:tcPr>
            <w:tcW w:w="2117" w:type="dxa"/>
            <w:tcBorders>
              <w:top w:val="nil"/>
              <w:left w:val="nil"/>
              <w:bottom w:val="single" w:sz="4" w:space="0" w:color="auto"/>
              <w:right w:val="single" w:sz="4" w:space="0" w:color="auto"/>
            </w:tcBorders>
            <w:noWrap/>
            <w:vAlign w:val="bottom"/>
            <w:hideMark/>
          </w:tcPr>
          <w:p w:rsidR="000D732C" w:rsidRDefault="000D732C">
            <w:r>
              <w:t xml:space="preserve">                                         </w:t>
            </w:r>
            <w:r>
              <w:lastRenderedPageBreak/>
              <w:t xml:space="preserve">- </w:t>
            </w:r>
          </w:p>
        </w:tc>
      </w:tr>
      <w:tr w:rsidR="000D732C" w:rsidTr="000D732C">
        <w:trPr>
          <w:trHeight w:val="300"/>
        </w:trPr>
        <w:tc>
          <w:tcPr>
            <w:tcW w:w="3828" w:type="dxa"/>
            <w:tcBorders>
              <w:top w:val="nil"/>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lastRenderedPageBreak/>
              <w:t>Проценты к получению</w:t>
            </w:r>
          </w:p>
        </w:tc>
        <w:tc>
          <w:tcPr>
            <w:tcW w:w="976" w:type="dxa"/>
            <w:tcBorders>
              <w:top w:val="nil"/>
              <w:left w:val="nil"/>
              <w:bottom w:val="single" w:sz="4" w:space="0" w:color="auto"/>
              <w:right w:val="single" w:sz="4" w:space="0" w:color="auto"/>
            </w:tcBorders>
            <w:noWrap/>
            <w:vAlign w:val="center"/>
            <w:hideMark/>
          </w:tcPr>
          <w:p w:rsidR="000D732C" w:rsidRDefault="000D732C">
            <w:pPr>
              <w:jc w:val="center"/>
              <w:rPr>
                <w:color w:val="000000"/>
              </w:rPr>
            </w:pPr>
            <w:r>
              <w:rPr>
                <w:color w:val="000000"/>
              </w:rPr>
              <w:t>2320</w:t>
            </w:r>
          </w:p>
        </w:tc>
        <w:tc>
          <w:tcPr>
            <w:tcW w:w="1876" w:type="dxa"/>
            <w:tcBorders>
              <w:top w:val="nil"/>
              <w:left w:val="nil"/>
              <w:bottom w:val="single" w:sz="4" w:space="0" w:color="auto"/>
              <w:right w:val="single" w:sz="4" w:space="0" w:color="auto"/>
            </w:tcBorders>
            <w:noWrap/>
            <w:vAlign w:val="bottom"/>
            <w:hideMark/>
          </w:tcPr>
          <w:p w:rsidR="000D732C" w:rsidRDefault="000D732C">
            <w:r>
              <w:t xml:space="preserve">                             - </w:t>
            </w:r>
          </w:p>
        </w:tc>
        <w:tc>
          <w:tcPr>
            <w:tcW w:w="1220" w:type="dxa"/>
            <w:tcBorders>
              <w:top w:val="nil"/>
              <w:left w:val="nil"/>
              <w:bottom w:val="single" w:sz="4" w:space="0" w:color="auto"/>
              <w:right w:val="single" w:sz="4" w:space="0" w:color="auto"/>
            </w:tcBorders>
            <w:noWrap/>
            <w:vAlign w:val="bottom"/>
            <w:hideMark/>
          </w:tcPr>
          <w:p w:rsidR="000D732C" w:rsidRDefault="000D732C">
            <w:pPr>
              <w:jc w:val="right"/>
            </w:pPr>
            <w:r>
              <w:t>0,0%</w:t>
            </w:r>
          </w:p>
        </w:tc>
        <w:tc>
          <w:tcPr>
            <w:tcW w:w="2117" w:type="dxa"/>
            <w:tcBorders>
              <w:top w:val="nil"/>
              <w:left w:val="nil"/>
              <w:bottom w:val="single" w:sz="4" w:space="0" w:color="auto"/>
              <w:right w:val="single" w:sz="4" w:space="0" w:color="auto"/>
            </w:tcBorders>
            <w:noWrap/>
            <w:vAlign w:val="bottom"/>
            <w:hideMark/>
          </w:tcPr>
          <w:p w:rsidR="000D732C" w:rsidRDefault="000D732C">
            <w:r>
              <w:t xml:space="preserve">                                         - </w:t>
            </w:r>
          </w:p>
        </w:tc>
      </w:tr>
      <w:tr w:rsidR="000D732C" w:rsidTr="000D732C">
        <w:trPr>
          <w:trHeight w:val="300"/>
        </w:trPr>
        <w:tc>
          <w:tcPr>
            <w:tcW w:w="3828" w:type="dxa"/>
            <w:tcBorders>
              <w:top w:val="nil"/>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Проценты к уплате</w:t>
            </w:r>
          </w:p>
        </w:tc>
        <w:tc>
          <w:tcPr>
            <w:tcW w:w="976" w:type="dxa"/>
            <w:tcBorders>
              <w:top w:val="nil"/>
              <w:left w:val="nil"/>
              <w:bottom w:val="single" w:sz="4" w:space="0" w:color="auto"/>
              <w:right w:val="single" w:sz="4" w:space="0" w:color="auto"/>
            </w:tcBorders>
            <w:noWrap/>
            <w:vAlign w:val="center"/>
            <w:hideMark/>
          </w:tcPr>
          <w:p w:rsidR="000D732C" w:rsidRDefault="000D732C">
            <w:pPr>
              <w:jc w:val="center"/>
              <w:rPr>
                <w:color w:val="000000"/>
              </w:rPr>
            </w:pPr>
            <w:r>
              <w:rPr>
                <w:color w:val="000000"/>
              </w:rPr>
              <w:t>2330</w:t>
            </w:r>
          </w:p>
        </w:tc>
        <w:tc>
          <w:tcPr>
            <w:tcW w:w="1876" w:type="dxa"/>
            <w:tcBorders>
              <w:top w:val="nil"/>
              <w:left w:val="nil"/>
              <w:bottom w:val="single" w:sz="4" w:space="0" w:color="auto"/>
              <w:right w:val="single" w:sz="4" w:space="0" w:color="auto"/>
            </w:tcBorders>
            <w:noWrap/>
            <w:vAlign w:val="bottom"/>
            <w:hideMark/>
          </w:tcPr>
          <w:p w:rsidR="000D732C" w:rsidRDefault="000D732C">
            <w:r>
              <w:t xml:space="preserve">                             - </w:t>
            </w:r>
          </w:p>
        </w:tc>
        <w:tc>
          <w:tcPr>
            <w:tcW w:w="1220" w:type="dxa"/>
            <w:tcBorders>
              <w:top w:val="nil"/>
              <w:left w:val="nil"/>
              <w:bottom w:val="single" w:sz="4" w:space="0" w:color="auto"/>
              <w:right w:val="single" w:sz="4" w:space="0" w:color="auto"/>
            </w:tcBorders>
            <w:noWrap/>
            <w:vAlign w:val="bottom"/>
            <w:hideMark/>
          </w:tcPr>
          <w:p w:rsidR="000D732C" w:rsidRDefault="000D732C">
            <w:pPr>
              <w:jc w:val="right"/>
            </w:pPr>
            <w:r>
              <w:t>0,0%</w:t>
            </w:r>
          </w:p>
        </w:tc>
        <w:tc>
          <w:tcPr>
            <w:tcW w:w="2117" w:type="dxa"/>
            <w:tcBorders>
              <w:top w:val="nil"/>
              <w:left w:val="nil"/>
              <w:bottom w:val="single" w:sz="4" w:space="0" w:color="auto"/>
              <w:right w:val="single" w:sz="4" w:space="0" w:color="auto"/>
            </w:tcBorders>
            <w:noWrap/>
            <w:vAlign w:val="bottom"/>
            <w:hideMark/>
          </w:tcPr>
          <w:p w:rsidR="000D732C" w:rsidRDefault="000D732C">
            <w:r>
              <w:t xml:space="preserve">                                         - </w:t>
            </w:r>
          </w:p>
        </w:tc>
      </w:tr>
      <w:tr w:rsidR="000D732C" w:rsidTr="000D732C">
        <w:trPr>
          <w:trHeight w:val="300"/>
        </w:trPr>
        <w:tc>
          <w:tcPr>
            <w:tcW w:w="3828" w:type="dxa"/>
            <w:tcBorders>
              <w:top w:val="nil"/>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Прочие доходы</w:t>
            </w:r>
          </w:p>
        </w:tc>
        <w:tc>
          <w:tcPr>
            <w:tcW w:w="976" w:type="dxa"/>
            <w:tcBorders>
              <w:top w:val="nil"/>
              <w:left w:val="nil"/>
              <w:bottom w:val="single" w:sz="4" w:space="0" w:color="auto"/>
              <w:right w:val="single" w:sz="4" w:space="0" w:color="auto"/>
            </w:tcBorders>
            <w:noWrap/>
            <w:vAlign w:val="center"/>
            <w:hideMark/>
          </w:tcPr>
          <w:p w:rsidR="000D732C" w:rsidRDefault="000D732C">
            <w:pPr>
              <w:jc w:val="center"/>
              <w:rPr>
                <w:color w:val="000000"/>
              </w:rPr>
            </w:pPr>
            <w:r>
              <w:rPr>
                <w:color w:val="000000"/>
              </w:rPr>
              <w:t>2340</w:t>
            </w:r>
          </w:p>
        </w:tc>
        <w:tc>
          <w:tcPr>
            <w:tcW w:w="1876" w:type="dxa"/>
            <w:tcBorders>
              <w:top w:val="nil"/>
              <w:left w:val="nil"/>
              <w:bottom w:val="single" w:sz="4" w:space="0" w:color="auto"/>
              <w:right w:val="single" w:sz="4" w:space="0" w:color="auto"/>
            </w:tcBorders>
            <w:noWrap/>
            <w:vAlign w:val="bottom"/>
            <w:hideMark/>
          </w:tcPr>
          <w:p w:rsidR="000D732C" w:rsidRDefault="000D732C">
            <w:r>
              <w:t xml:space="preserve">                             - </w:t>
            </w:r>
          </w:p>
        </w:tc>
        <w:tc>
          <w:tcPr>
            <w:tcW w:w="1220" w:type="dxa"/>
            <w:tcBorders>
              <w:top w:val="nil"/>
              <w:left w:val="nil"/>
              <w:bottom w:val="single" w:sz="4" w:space="0" w:color="auto"/>
              <w:right w:val="single" w:sz="4" w:space="0" w:color="auto"/>
            </w:tcBorders>
            <w:noWrap/>
            <w:vAlign w:val="bottom"/>
            <w:hideMark/>
          </w:tcPr>
          <w:p w:rsidR="000D732C" w:rsidRDefault="000D732C">
            <w:pPr>
              <w:jc w:val="right"/>
            </w:pPr>
            <w:r>
              <w:t>0,0%</w:t>
            </w:r>
          </w:p>
        </w:tc>
        <w:tc>
          <w:tcPr>
            <w:tcW w:w="2117" w:type="dxa"/>
            <w:tcBorders>
              <w:top w:val="nil"/>
              <w:left w:val="nil"/>
              <w:bottom w:val="single" w:sz="4" w:space="0" w:color="auto"/>
              <w:right w:val="single" w:sz="4" w:space="0" w:color="auto"/>
            </w:tcBorders>
            <w:noWrap/>
            <w:vAlign w:val="bottom"/>
            <w:hideMark/>
          </w:tcPr>
          <w:p w:rsidR="000D732C" w:rsidRDefault="000D732C">
            <w:r>
              <w:t xml:space="preserve">                                         - </w:t>
            </w:r>
          </w:p>
        </w:tc>
      </w:tr>
      <w:tr w:rsidR="000D732C" w:rsidTr="000D732C">
        <w:trPr>
          <w:trHeight w:val="300"/>
        </w:trPr>
        <w:tc>
          <w:tcPr>
            <w:tcW w:w="3828" w:type="dxa"/>
            <w:tcBorders>
              <w:top w:val="nil"/>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Прочие расходы</w:t>
            </w:r>
          </w:p>
        </w:tc>
        <w:tc>
          <w:tcPr>
            <w:tcW w:w="976" w:type="dxa"/>
            <w:tcBorders>
              <w:top w:val="nil"/>
              <w:left w:val="nil"/>
              <w:bottom w:val="single" w:sz="4" w:space="0" w:color="auto"/>
              <w:right w:val="single" w:sz="4" w:space="0" w:color="auto"/>
            </w:tcBorders>
            <w:noWrap/>
            <w:vAlign w:val="center"/>
            <w:hideMark/>
          </w:tcPr>
          <w:p w:rsidR="000D732C" w:rsidRDefault="000D732C">
            <w:pPr>
              <w:jc w:val="center"/>
              <w:rPr>
                <w:color w:val="000000"/>
              </w:rPr>
            </w:pPr>
            <w:r>
              <w:rPr>
                <w:color w:val="000000"/>
              </w:rPr>
              <w:t>2350</w:t>
            </w:r>
          </w:p>
        </w:tc>
        <w:tc>
          <w:tcPr>
            <w:tcW w:w="1876" w:type="dxa"/>
            <w:tcBorders>
              <w:top w:val="nil"/>
              <w:left w:val="nil"/>
              <w:bottom w:val="single" w:sz="4" w:space="0" w:color="auto"/>
              <w:right w:val="single" w:sz="4" w:space="0" w:color="auto"/>
            </w:tcBorders>
            <w:noWrap/>
            <w:vAlign w:val="bottom"/>
            <w:hideMark/>
          </w:tcPr>
          <w:p w:rsidR="000D732C" w:rsidRDefault="000D732C">
            <w:r>
              <w:t xml:space="preserve">                             - </w:t>
            </w:r>
          </w:p>
        </w:tc>
        <w:tc>
          <w:tcPr>
            <w:tcW w:w="1220" w:type="dxa"/>
            <w:tcBorders>
              <w:top w:val="nil"/>
              <w:left w:val="nil"/>
              <w:bottom w:val="single" w:sz="4" w:space="0" w:color="auto"/>
              <w:right w:val="single" w:sz="4" w:space="0" w:color="auto"/>
            </w:tcBorders>
            <w:noWrap/>
            <w:vAlign w:val="bottom"/>
            <w:hideMark/>
          </w:tcPr>
          <w:p w:rsidR="000D732C" w:rsidRDefault="000D732C">
            <w:pPr>
              <w:jc w:val="right"/>
            </w:pPr>
            <w:r>
              <w:t>0,0%</w:t>
            </w:r>
          </w:p>
        </w:tc>
        <w:tc>
          <w:tcPr>
            <w:tcW w:w="2117" w:type="dxa"/>
            <w:tcBorders>
              <w:top w:val="nil"/>
              <w:left w:val="nil"/>
              <w:bottom w:val="single" w:sz="4" w:space="0" w:color="auto"/>
              <w:right w:val="single" w:sz="4" w:space="0" w:color="auto"/>
            </w:tcBorders>
            <w:noWrap/>
            <w:vAlign w:val="bottom"/>
            <w:hideMark/>
          </w:tcPr>
          <w:p w:rsidR="000D732C" w:rsidRDefault="000D732C">
            <w:r>
              <w:t xml:space="preserve">                                         - </w:t>
            </w:r>
          </w:p>
        </w:tc>
      </w:tr>
      <w:tr w:rsidR="000D732C" w:rsidTr="000D732C">
        <w:trPr>
          <w:trHeight w:val="300"/>
        </w:trPr>
        <w:tc>
          <w:tcPr>
            <w:tcW w:w="3828" w:type="dxa"/>
            <w:tcBorders>
              <w:top w:val="nil"/>
              <w:left w:val="single" w:sz="4" w:space="0" w:color="auto"/>
              <w:bottom w:val="single" w:sz="4" w:space="0" w:color="auto"/>
              <w:right w:val="single" w:sz="4" w:space="0" w:color="auto"/>
            </w:tcBorders>
            <w:vAlign w:val="bottom"/>
            <w:hideMark/>
          </w:tcPr>
          <w:p w:rsidR="000D732C" w:rsidRDefault="000D732C">
            <w:pPr>
              <w:rPr>
                <w:b/>
                <w:bCs/>
                <w:color w:val="000000"/>
              </w:rPr>
            </w:pPr>
            <w:r>
              <w:rPr>
                <w:b/>
                <w:bCs/>
                <w:color w:val="000000"/>
              </w:rPr>
              <w:t>Прибыль (убыток) до налогообложения</w:t>
            </w:r>
          </w:p>
        </w:tc>
        <w:tc>
          <w:tcPr>
            <w:tcW w:w="976" w:type="dxa"/>
            <w:tcBorders>
              <w:top w:val="nil"/>
              <w:left w:val="nil"/>
              <w:bottom w:val="single" w:sz="4" w:space="0" w:color="auto"/>
              <w:right w:val="single" w:sz="4" w:space="0" w:color="auto"/>
            </w:tcBorders>
            <w:noWrap/>
            <w:vAlign w:val="center"/>
            <w:hideMark/>
          </w:tcPr>
          <w:p w:rsidR="000D732C" w:rsidRDefault="000D732C">
            <w:pPr>
              <w:jc w:val="center"/>
              <w:rPr>
                <w:b/>
                <w:bCs/>
                <w:color w:val="000000"/>
              </w:rPr>
            </w:pPr>
            <w:r>
              <w:rPr>
                <w:b/>
                <w:bCs/>
                <w:color w:val="000000"/>
              </w:rPr>
              <w:t>2300</w:t>
            </w:r>
          </w:p>
        </w:tc>
        <w:tc>
          <w:tcPr>
            <w:tcW w:w="1876" w:type="dxa"/>
            <w:tcBorders>
              <w:top w:val="nil"/>
              <w:left w:val="nil"/>
              <w:bottom w:val="single" w:sz="4" w:space="0" w:color="auto"/>
              <w:right w:val="single" w:sz="4" w:space="0" w:color="auto"/>
            </w:tcBorders>
            <w:noWrap/>
            <w:vAlign w:val="center"/>
            <w:hideMark/>
          </w:tcPr>
          <w:p w:rsidR="000D732C" w:rsidRDefault="000D732C">
            <w:pPr>
              <w:rPr>
                <w:b/>
                <w:bCs/>
                <w:color w:val="000000"/>
              </w:rPr>
            </w:pPr>
            <w:r>
              <w:rPr>
                <w:b/>
                <w:bCs/>
                <w:color w:val="000000"/>
              </w:rPr>
              <w:t xml:space="preserve">                             - </w:t>
            </w:r>
          </w:p>
        </w:tc>
        <w:tc>
          <w:tcPr>
            <w:tcW w:w="1220" w:type="dxa"/>
            <w:tcBorders>
              <w:top w:val="nil"/>
              <w:left w:val="nil"/>
              <w:bottom w:val="single" w:sz="4" w:space="0" w:color="auto"/>
              <w:right w:val="single" w:sz="4" w:space="0" w:color="auto"/>
            </w:tcBorders>
            <w:noWrap/>
            <w:vAlign w:val="center"/>
            <w:hideMark/>
          </w:tcPr>
          <w:p w:rsidR="000D732C" w:rsidRDefault="000D732C">
            <w:pPr>
              <w:jc w:val="right"/>
              <w:rPr>
                <w:b/>
                <w:bCs/>
                <w:color w:val="000000"/>
              </w:rPr>
            </w:pPr>
            <w:r>
              <w:rPr>
                <w:b/>
                <w:bCs/>
                <w:color w:val="000000"/>
              </w:rPr>
              <w:t>0,0%</w:t>
            </w:r>
          </w:p>
        </w:tc>
        <w:tc>
          <w:tcPr>
            <w:tcW w:w="2117" w:type="dxa"/>
            <w:tcBorders>
              <w:top w:val="nil"/>
              <w:left w:val="nil"/>
              <w:bottom w:val="single" w:sz="4" w:space="0" w:color="auto"/>
              <w:right w:val="single" w:sz="4" w:space="0" w:color="auto"/>
            </w:tcBorders>
            <w:noWrap/>
            <w:vAlign w:val="center"/>
            <w:hideMark/>
          </w:tcPr>
          <w:p w:rsidR="000D732C" w:rsidRDefault="000D732C">
            <w:pPr>
              <w:rPr>
                <w:b/>
                <w:bCs/>
                <w:color w:val="000000"/>
              </w:rPr>
            </w:pPr>
            <w:r>
              <w:rPr>
                <w:b/>
                <w:bCs/>
                <w:color w:val="000000"/>
              </w:rPr>
              <w:t xml:space="preserve">                                         - </w:t>
            </w:r>
          </w:p>
        </w:tc>
      </w:tr>
      <w:tr w:rsidR="000D732C" w:rsidTr="000D732C">
        <w:trPr>
          <w:trHeight w:val="300"/>
        </w:trPr>
        <w:tc>
          <w:tcPr>
            <w:tcW w:w="3828" w:type="dxa"/>
            <w:tcBorders>
              <w:top w:val="nil"/>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Текущий налог на прибыль</w:t>
            </w:r>
          </w:p>
        </w:tc>
        <w:tc>
          <w:tcPr>
            <w:tcW w:w="976" w:type="dxa"/>
            <w:tcBorders>
              <w:top w:val="nil"/>
              <w:left w:val="nil"/>
              <w:bottom w:val="single" w:sz="4" w:space="0" w:color="auto"/>
              <w:right w:val="single" w:sz="4" w:space="0" w:color="auto"/>
            </w:tcBorders>
            <w:noWrap/>
            <w:vAlign w:val="center"/>
            <w:hideMark/>
          </w:tcPr>
          <w:p w:rsidR="000D732C" w:rsidRDefault="000D732C">
            <w:pPr>
              <w:jc w:val="center"/>
              <w:rPr>
                <w:color w:val="000000"/>
              </w:rPr>
            </w:pPr>
            <w:r>
              <w:rPr>
                <w:color w:val="000000"/>
              </w:rPr>
              <w:t>2410</w:t>
            </w:r>
          </w:p>
        </w:tc>
        <w:tc>
          <w:tcPr>
            <w:tcW w:w="1876" w:type="dxa"/>
            <w:tcBorders>
              <w:top w:val="nil"/>
              <w:left w:val="nil"/>
              <w:bottom w:val="single" w:sz="4" w:space="0" w:color="auto"/>
              <w:right w:val="single" w:sz="4" w:space="0" w:color="auto"/>
            </w:tcBorders>
            <w:noWrap/>
            <w:vAlign w:val="bottom"/>
            <w:hideMark/>
          </w:tcPr>
          <w:p w:rsidR="000D732C" w:rsidRDefault="000D732C">
            <w:r>
              <w:t xml:space="preserve">                             - </w:t>
            </w:r>
          </w:p>
        </w:tc>
        <w:tc>
          <w:tcPr>
            <w:tcW w:w="1220" w:type="dxa"/>
            <w:tcBorders>
              <w:top w:val="nil"/>
              <w:left w:val="nil"/>
              <w:bottom w:val="single" w:sz="4" w:space="0" w:color="auto"/>
              <w:right w:val="single" w:sz="4" w:space="0" w:color="auto"/>
            </w:tcBorders>
            <w:noWrap/>
            <w:vAlign w:val="bottom"/>
            <w:hideMark/>
          </w:tcPr>
          <w:p w:rsidR="000D732C" w:rsidRDefault="000D732C">
            <w:pPr>
              <w:jc w:val="right"/>
            </w:pPr>
            <w:r>
              <w:t>0,0%</w:t>
            </w:r>
          </w:p>
        </w:tc>
        <w:tc>
          <w:tcPr>
            <w:tcW w:w="2117" w:type="dxa"/>
            <w:tcBorders>
              <w:top w:val="nil"/>
              <w:left w:val="nil"/>
              <w:bottom w:val="single" w:sz="4" w:space="0" w:color="auto"/>
              <w:right w:val="single" w:sz="4" w:space="0" w:color="auto"/>
            </w:tcBorders>
            <w:noWrap/>
            <w:vAlign w:val="bottom"/>
            <w:hideMark/>
          </w:tcPr>
          <w:p w:rsidR="000D732C" w:rsidRDefault="000D732C">
            <w:r>
              <w:t xml:space="preserve">                                         - </w:t>
            </w:r>
          </w:p>
        </w:tc>
      </w:tr>
      <w:tr w:rsidR="000D732C" w:rsidTr="000D732C">
        <w:trPr>
          <w:trHeight w:val="600"/>
        </w:trPr>
        <w:tc>
          <w:tcPr>
            <w:tcW w:w="3828" w:type="dxa"/>
            <w:tcBorders>
              <w:top w:val="nil"/>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 xml:space="preserve">в </w:t>
            </w:r>
            <w:proofErr w:type="spellStart"/>
            <w:r>
              <w:rPr>
                <w:color w:val="000000"/>
              </w:rPr>
              <w:t>т.ч</w:t>
            </w:r>
            <w:proofErr w:type="spellEnd"/>
            <w:r>
              <w:rPr>
                <w:color w:val="000000"/>
              </w:rPr>
              <w:t>. постоянные налоговые обязательства</w:t>
            </w:r>
            <w:r>
              <w:rPr>
                <w:color w:val="000000"/>
              </w:rPr>
              <w:br/>
              <w:t>(активы)</w:t>
            </w:r>
          </w:p>
        </w:tc>
        <w:tc>
          <w:tcPr>
            <w:tcW w:w="976" w:type="dxa"/>
            <w:tcBorders>
              <w:top w:val="nil"/>
              <w:left w:val="nil"/>
              <w:bottom w:val="single" w:sz="4" w:space="0" w:color="auto"/>
              <w:right w:val="single" w:sz="4" w:space="0" w:color="auto"/>
            </w:tcBorders>
            <w:noWrap/>
            <w:vAlign w:val="center"/>
            <w:hideMark/>
          </w:tcPr>
          <w:p w:rsidR="000D732C" w:rsidRDefault="000D732C">
            <w:pPr>
              <w:jc w:val="center"/>
              <w:rPr>
                <w:color w:val="000000"/>
              </w:rPr>
            </w:pPr>
            <w:r>
              <w:rPr>
                <w:color w:val="000000"/>
              </w:rPr>
              <w:t>2421</w:t>
            </w:r>
          </w:p>
        </w:tc>
        <w:tc>
          <w:tcPr>
            <w:tcW w:w="1876" w:type="dxa"/>
            <w:tcBorders>
              <w:top w:val="nil"/>
              <w:left w:val="nil"/>
              <w:bottom w:val="single" w:sz="4" w:space="0" w:color="auto"/>
              <w:right w:val="single" w:sz="4" w:space="0" w:color="auto"/>
            </w:tcBorders>
            <w:noWrap/>
            <w:vAlign w:val="bottom"/>
            <w:hideMark/>
          </w:tcPr>
          <w:p w:rsidR="000D732C" w:rsidRDefault="000D732C">
            <w:r>
              <w:t xml:space="preserve">                             - </w:t>
            </w:r>
          </w:p>
        </w:tc>
        <w:tc>
          <w:tcPr>
            <w:tcW w:w="1220" w:type="dxa"/>
            <w:tcBorders>
              <w:top w:val="nil"/>
              <w:left w:val="nil"/>
              <w:bottom w:val="single" w:sz="4" w:space="0" w:color="auto"/>
              <w:right w:val="single" w:sz="4" w:space="0" w:color="auto"/>
            </w:tcBorders>
            <w:noWrap/>
            <w:vAlign w:val="bottom"/>
            <w:hideMark/>
          </w:tcPr>
          <w:p w:rsidR="000D732C" w:rsidRDefault="000D732C">
            <w:pPr>
              <w:jc w:val="right"/>
            </w:pPr>
            <w:r>
              <w:t>0,0%</w:t>
            </w:r>
          </w:p>
        </w:tc>
        <w:tc>
          <w:tcPr>
            <w:tcW w:w="2117" w:type="dxa"/>
            <w:tcBorders>
              <w:top w:val="nil"/>
              <w:left w:val="nil"/>
              <w:bottom w:val="single" w:sz="4" w:space="0" w:color="auto"/>
              <w:right w:val="single" w:sz="4" w:space="0" w:color="auto"/>
            </w:tcBorders>
            <w:noWrap/>
            <w:vAlign w:val="bottom"/>
            <w:hideMark/>
          </w:tcPr>
          <w:p w:rsidR="000D732C" w:rsidRDefault="000D732C">
            <w:r>
              <w:t xml:space="preserve">                                         - </w:t>
            </w:r>
          </w:p>
        </w:tc>
      </w:tr>
      <w:tr w:rsidR="000D732C" w:rsidTr="000D732C">
        <w:trPr>
          <w:trHeight w:val="300"/>
        </w:trPr>
        <w:tc>
          <w:tcPr>
            <w:tcW w:w="3828" w:type="dxa"/>
            <w:tcBorders>
              <w:top w:val="nil"/>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Изменение отложенных налоговых обязательств</w:t>
            </w:r>
          </w:p>
        </w:tc>
        <w:tc>
          <w:tcPr>
            <w:tcW w:w="976" w:type="dxa"/>
            <w:tcBorders>
              <w:top w:val="nil"/>
              <w:left w:val="nil"/>
              <w:bottom w:val="single" w:sz="4" w:space="0" w:color="auto"/>
              <w:right w:val="single" w:sz="4" w:space="0" w:color="auto"/>
            </w:tcBorders>
            <w:noWrap/>
            <w:vAlign w:val="center"/>
            <w:hideMark/>
          </w:tcPr>
          <w:p w:rsidR="000D732C" w:rsidRDefault="000D732C">
            <w:pPr>
              <w:jc w:val="center"/>
              <w:rPr>
                <w:color w:val="000000"/>
              </w:rPr>
            </w:pPr>
            <w:r>
              <w:rPr>
                <w:color w:val="000000"/>
              </w:rPr>
              <w:t>2430</w:t>
            </w:r>
          </w:p>
        </w:tc>
        <w:tc>
          <w:tcPr>
            <w:tcW w:w="1876" w:type="dxa"/>
            <w:tcBorders>
              <w:top w:val="nil"/>
              <w:left w:val="nil"/>
              <w:bottom w:val="single" w:sz="4" w:space="0" w:color="auto"/>
              <w:right w:val="single" w:sz="4" w:space="0" w:color="auto"/>
            </w:tcBorders>
            <w:noWrap/>
            <w:vAlign w:val="bottom"/>
            <w:hideMark/>
          </w:tcPr>
          <w:p w:rsidR="000D732C" w:rsidRDefault="000D732C">
            <w:r>
              <w:t xml:space="preserve">                             - </w:t>
            </w:r>
          </w:p>
        </w:tc>
        <w:tc>
          <w:tcPr>
            <w:tcW w:w="1220" w:type="dxa"/>
            <w:tcBorders>
              <w:top w:val="nil"/>
              <w:left w:val="nil"/>
              <w:bottom w:val="single" w:sz="4" w:space="0" w:color="auto"/>
              <w:right w:val="single" w:sz="4" w:space="0" w:color="auto"/>
            </w:tcBorders>
            <w:noWrap/>
            <w:vAlign w:val="bottom"/>
            <w:hideMark/>
          </w:tcPr>
          <w:p w:rsidR="000D732C" w:rsidRDefault="000D732C">
            <w:pPr>
              <w:jc w:val="right"/>
            </w:pPr>
            <w:r>
              <w:t>0,0%</w:t>
            </w:r>
          </w:p>
        </w:tc>
        <w:tc>
          <w:tcPr>
            <w:tcW w:w="2117" w:type="dxa"/>
            <w:tcBorders>
              <w:top w:val="nil"/>
              <w:left w:val="nil"/>
              <w:bottom w:val="single" w:sz="4" w:space="0" w:color="auto"/>
              <w:right w:val="single" w:sz="4" w:space="0" w:color="auto"/>
            </w:tcBorders>
            <w:noWrap/>
            <w:vAlign w:val="bottom"/>
            <w:hideMark/>
          </w:tcPr>
          <w:p w:rsidR="000D732C" w:rsidRDefault="000D732C">
            <w:r>
              <w:t xml:space="preserve">                                         - </w:t>
            </w:r>
          </w:p>
        </w:tc>
      </w:tr>
      <w:tr w:rsidR="000D732C" w:rsidTr="000D732C">
        <w:trPr>
          <w:trHeight w:val="300"/>
        </w:trPr>
        <w:tc>
          <w:tcPr>
            <w:tcW w:w="3828" w:type="dxa"/>
            <w:tcBorders>
              <w:top w:val="nil"/>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Изменение отложенных налоговых активов</w:t>
            </w:r>
          </w:p>
        </w:tc>
        <w:tc>
          <w:tcPr>
            <w:tcW w:w="976" w:type="dxa"/>
            <w:tcBorders>
              <w:top w:val="nil"/>
              <w:left w:val="nil"/>
              <w:bottom w:val="single" w:sz="4" w:space="0" w:color="auto"/>
              <w:right w:val="single" w:sz="4" w:space="0" w:color="auto"/>
            </w:tcBorders>
            <w:noWrap/>
            <w:vAlign w:val="center"/>
            <w:hideMark/>
          </w:tcPr>
          <w:p w:rsidR="000D732C" w:rsidRDefault="000D732C">
            <w:pPr>
              <w:jc w:val="center"/>
              <w:rPr>
                <w:color w:val="000000"/>
              </w:rPr>
            </w:pPr>
            <w:r>
              <w:rPr>
                <w:color w:val="000000"/>
              </w:rPr>
              <w:t>2450</w:t>
            </w:r>
          </w:p>
        </w:tc>
        <w:tc>
          <w:tcPr>
            <w:tcW w:w="1876" w:type="dxa"/>
            <w:tcBorders>
              <w:top w:val="nil"/>
              <w:left w:val="nil"/>
              <w:bottom w:val="single" w:sz="4" w:space="0" w:color="auto"/>
              <w:right w:val="single" w:sz="4" w:space="0" w:color="auto"/>
            </w:tcBorders>
            <w:noWrap/>
            <w:vAlign w:val="bottom"/>
            <w:hideMark/>
          </w:tcPr>
          <w:p w:rsidR="000D732C" w:rsidRDefault="000D732C">
            <w:r>
              <w:t xml:space="preserve">                             - </w:t>
            </w:r>
          </w:p>
        </w:tc>
        <w:tc>
          <w:tcPr>
            <w:tcW w:w="1220" w:type="dxa"/>
            <w:tcBorders>
              <w:top w:val="nil"/>
              <w:left w:val="nil"/>
              <w:bottom w:val="single" w:sz="4" w:space="0" w:color="auto"/>
              <w:right w:val="single" w:sz="4" w:space="0" w:color="auto"/>
            </w:tcBorders>
            <w:noWrap/>
            <w:vAlign w:val="bottom"/>
            <w:hideMark/>
          </w:tcPr>
          <w:p w:rsidR="000D732C" w:rsidRDefault="000D732C">
            <w:pPr>
              <w:jc w:val="right"/>
            </w:pPr>
            <w:r>
              <w:t>0,0%</w:t>
            </w:r>
          </w:p>
        </w:tc>
        <w:tc>
          <w:tcPr>
            <w:tcW w:w="2117" w:type="dxa"/>
            <w:tcBorders>
              <w:top w:val="nil"/>
              <w:left w:val="nil"/>
              <w:bottom w:val="single" w:sz="4" w:space="0" w:color="auto"/>
              <w:right w:val="single" w:sz="4" w:space="0" w:color="auto"/>
            </w:tcBorders>
            <w:noWrap/>
            <w:vAlign w:val="bottom"/>
            <w:hideMark/>
          </w:tcPr>
          <w:p w:rsidR="000D732C" w:rsidRDefault="000D732C">
            <w:r>
              <w:t xml:space="preserve">                                         - </w:t>
            </w:r>
          </w:p>
        </w:tc>
      </w:tr>
      <w:tr w:rsidR="000D732C" w:rsidTr="000D732C">
        <w:trPr>
          <w:trHeight w:val="300"/>
        </w:trPr>
        <w:tc>
          <w:tcPr>
            <w:tcW w:w="3828" w:type="dxa"/>
            <w:tcBorders>
              <w:top w:val="nil"/>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Прочее</w:t>
            </w:r>
          </w:p>
        </w:tc>
        <w:tc>
          <w:tcPr>
            <w:tcW w:w="976" w:type="dxa"/>
            <w:tcBorders>
              <w:top w:val="nil"/>
              <w:left w:val="nil"/>
              <w:bottom w:val="single" w:sz="4" w:space="0" w:color="auto"/>
              <w:right w:val="single" w:sz="4" w:space="0" w:color="auto"/>
            </w:tcBorders>
            <w:noWrap/>
            <w:vAlign w:val="center"/>
            <w:hideMark/>
          </w:tcPr>
          <w:p w:rsidR="000D732C" w:rsidRDefault="000D732C">
            <w:pPr>
              <w:jc w:val="center"/>
              <w:rPr>
                <w:color w:val="000000"/>
              </w:rPr>
            </w:pPr>
            <w:r>
              <w:rPr>
                <w:color w:val="000000"/>
              </w:rPr>
              <w:t>2460</w:t>
            </w:r>
          </w:p>
        </w:tc>
        <w:tc>
          <w:tcPr>
            <w:tcW w:w="1876" w:type="dxa"/>
            <w:tcBorders>
              <w:top w:val="nil"/>
              <w:left w:val="nil"/>
              <w:bottom w:val="single" w:sz="4" w:space="0" w:color="auto"/>
              <w:right w:val="single" w:sz="4" w:space="0" w:color="auto"/>
            </w:tcBorders>
            <w:noWrap/>
            <w:vAlign w:val="bottom"/>
            <w:hideMark/>
          </w:tcPr>
          <w:p w:rsidR="000D732C" w:rsidRDefault="000D732C">
            <w:r>
              <w:t xml:space="preserve">                             - </w:t>
            </w:r>
          </w:p>
        </w:tc>
        <w:tc>
          <w:tcPr>
            <w:tcW w:w="1220" w:type="dxa"/>
            <w:tcBorders>
              <w:top w:val="nil"/>
              <w:left w:val="nil"/>
              <w:bottom w:val="single" w:sz="4" w:space="0" w:color="auto"/>
              <w:right w:val="single" w:sz="4" w:space="0" w:color="auto"/>
            </w:tcBorders>
            <w:noWrap/>
            <w:vAlign w:val="bottom"/>
            <w:hideMark/>
          </w:tcPr>
          <w:p w:rsidR="000D732C" w:rsidRDefault="000D732C">
            <w:pPr>
              <w:jc w:val="right"/>
            </w:pPr>
            <w:r>
              <w:t>0,0%</w:t>
            </w:r>
          </w:p>
        </w:tc>
        <w:tc>
          <w:tcPr>
            <w:tcW w:w="2117" w:type="dxa"/>
            <w:tcBorders>
              <w:top w:val="nil"/>
              <w:left w:val="nil"/>
              <w:bottom w:val="single" w:sz="4" w:space="0" w:color="auto"/>
              <w:right w:val="single" w:sz="4" w:space="0" w:color="auto"/>
            </w:tcBorders>
            <w:noWrap/>
            <w:vAlign w:val="bottom"/>
            <w:hideMark/>
          </w:tcPr>
          <w:p w:rsidR="000D732C" w:rsidRDefault="000D732C">
            <w:r>
              <w:t xml:space="preserve">                                         - </w:t>
            </w:r>
          </w:p>
        </w:tc>
      </w:tr>
      <w:tr w:rsidR="000D732C" w:rsidTr="000D732C">
        <w:trPr>
          <w:trHeight w:val="300"/>
        </w:trPr>
        <w:tc>
          <w:tcPr>
            <w:tcW w:w="3828" w:type="dxa"/>
            <w:tcBorders>
              <w:top w:val="nil"/>
              <w:left w:val="single" w:sz="4" w:space="0" w:color="auto"/>
              <w:bottom w:val="single" w:sz="4" w:space="0" w:color="auto"/>
              <w:right w:val="single" w:sz="4" w:space="0" w:color="auto"/>
            </w:tcBorders>
            <w:shd w:val="clear" w:color="auto" w:fill="FCE4D6"/>
            <w:vAlign w:val="bottom"/>
            <w:hideMark/>
          </w:tcPr>
          <w:p w:rsidR="000D732C" w:rsidRDefault="000D732C">
            <w:pPr>
              <w:rPr>
                <w:b/>
                <w:bCs/>
                <w:color w:val="000000"/>
              </w:rPr>
            </w:pPr>
            <w:r>
              <w:rPr>
                <w:b/>
                <w:bCs/>
                <w:color w:val="000000"/>
              </w:rPr>
              <w:t>Чистая прибыль (убыток)</w:t>
            </w:r>
          </w:p>
        </w:tc>
        <w:tc>
          <w:tcPr>
            <w:tcW w:w="976" w:type="dxa"/>
            <w:tcBorders>
              <w:top w:val="nil"/>
              <w:left w:val="nil"/>
              <w:bottom w:val="single" w:sz="4" w:space="0" w:color="auto"/>
              <w:right w:val="single" w:sz="4" w:space="0" w:color="auto"/>
            </w:tcBorders>
            <w:shd w:val="clear" w:color="auto" w:fill="FCE4D6"/>
            <w:noWrap/>
            <w:vAlign w:val="center"/>
            <w:hideMark/>
          </w:tcPr>
          <w:p w:rsidR="000D732C" w:rsidRDefault="000D732C">
            <w:pPr>
              <w:jc w:val="center"/>
              <w:rPr>
                <w:b/>
                <w:bCs/>
                <w:color w:val="000000"/>
              </w:rPr>
            </w:pPr>
            <w:r>
              <w:rPr>
                <w:b/>
                <w:bCs/>
                <w:color w:val="000000"/>
              </w:rPr>
              <w:t>2400</w:t>
            </w:r>
          </w:p>
        </w:tc>
        <w:tc>
          <w:tcPr>
            <w:tcW w:w="1876" w:type="dxa"/>
            <w:tcBorders>
              <w:top w:val="nil"/>
              <w:left w:val="nil"/>
              <w:bottom w:val="single" w:sz="4" w:space="0" w:color="auto"/>
              <w:right w:val="single" w:sz="4" w:space="0" w:color="auto"/>
            </w:tcBorders>
            <w:shd w:val="clear" w:color="auto" w:fill="FCE4D6"/>
            <w:noWrap/>
            <w:vAlign w:val="center"/>
            <w:hideMark/>
          </w:tcPr>
          <w:p w:rsidR="000D732C" w:rsidRDefault="000D732C">
            <w:pPr>
              <w:rPr>
                <w:b/>
                <w:bCs/>
                <w:color w:val="000000"/>
              </w:rPr>
            </w:pPr>
            <w:r>
              <w:rPr>
                <w:b/>
                <w:bCs/>
                <w:color w:val="000000"/>
              </w:rPr>
              <w:t xml:space="preserve">                             - </w:t>
            </w:r>
          </w:p>
        </w:tc>
        <w:tc>
          <w:tcPr>
            <w:tcW w:w="1220" w:type="dxa"/>
            <w:tcBorders>
              <w:top w:val="nil"/>
              <w:left w:val="nil"/>
              <w:bottom w:val="single" w:sz="4" w:space="0" w:color="auto"/>
              <w:right w:val="single" w:sz="4" w:space="0" w:color="auto"/>
            </w:tcBorders>
            <w:shd w:val="clear" w:color="auto" w:fill="FCE4D6"/>
            <w:noWrap/>
            <w:vAlign w:val="center"/>
            <w:hideMark/>
          </w:tcPr>
          <w:p w:rsidR="000D732C" w:rsidRDefault="000D732C">
            <w:pPr>
              <w:jc w:val="right"/>
              <w:rPr>
                <w:b/>
                <w:bCs/>
                <w:color w:val="000000"/>
              </w:rPr>
            </w:pPr>
            <w:r>
              <w:rPr>
                <w:b/>
                <w:bCs/>
                <w:color w:val="000000"/>
              </w:rPr>
              <w:t>0,0%</w:t>
            </w:r>
          </w:p>
        </w:tc>
        <w:tc>
          <w:tcPr>
            <w:tcW w:w="2117" w:type="dxa"/>
            <w:tcBorders>
              <w:top w:val="nil"/>
              <w:left w:val="nil"/>
              <w:bottom w:val="single" w:sz="4" w:space="0" w:color="auto"/>
              <w:right w:val="single" w:sz="4" w:space="0" w:color="auto"/>
            </w:tcBorders>
            <w:shd w:val="clear" w:color="auto" w:fill="FCE4D6"/>
            <w:noWrap/>
            <w:vAlign w:val="center"/>
            <w:hideMark/>
          </w:tcPr>
          <w:p w:rsidR="000D732C" w:rsidRDefault="000D732C">
            <w:pPr>
              <w:rPr>
                <w:b/>
                <w:bCs/>
                <w:color w:val="000000"/>
              </w:rPr>
            </w:pPr>
            <w:r>
              <w:rPr>
                <w:b/>
                <w:bCs/>
                <w:color w:val="000000"/>
              </w:rPr>
              <w:t xml:space="preserve">                                         - </w:t>
            </w:r>
          </w:p>
        </w:tc>
      </w:tr>
    </w:tbl>
    <w:p w:rsidR="000D732C" w:rsidRDefault="000D732C" w:rsidP="000D732C">
      <w:pPr>
        <w:widowControl w:val="0"/>
        <w:autoSpaceDE w:val="0"/>
        <w:autoSpaceDN w:val="0"/>
        <w:adjustRightInd w:val="0"/>
        <w:rPr>
          <w:sz w:val="22"/>
        </w:rPr>
      </w:pPr>
    </w:p>
    <w:p w:rsidR="000D732C" w:rsidRDefault="000D732C" w:rsidP="000D732C">
      <w:pPr>
        <w:spacing w:before="120"/>
        <w:ind w:firstLine="567"/>
        <w:jc w:val="both"/>
      </w:pPr>
      <w:r>
        <w:t>В данной таблице проводится анализ отчета о финансовых результатах, за период, в котором отображается изменения статей по периоду, а также определяется среднегодовая величина статей отчета о финансовых результатах.</w:t>
      </w:r>
    </w:p>
    <w:p w:rsidR="000D732C" w:rsidRDefault="000D732C" w:rsidP="000D732C">
      <w:pPr>
        <w:spacing w:before="120"/>
        <w:ind w:firstLine="567"/>
        <w:jc w:val="both"/>
      </w:pPr>
      <w:r>
        <w:t xml:space="preserve">Необходимо проанализировать изменение статей отчета о финансовых результатах в количественном и процентом соотношении. </w:t>
      </w:r>
    </w:p>
    <w:p w:rsidR="000D732C" w:rsidRDefault="000D732C" w:rsidP="000D732C">
      <w:pPr>
        <w:spacing w:before="120"/>
        <w:ind w:firstLine="567"/>
        <w:jc w:val="both"/>
      </w:pPr>
      <w:r>
        <w:t xml:space="preserve">Горизонтальный анализ позволяет понять, происходит ли развитие компании, наращивает ли она объем сбыта, увеличивает размер финансового результата от своей деятельности. Все это позволяет понять направление развития компании, что обеспечивает аналитика информацией о перспективах бизнеса. Более высокий темп прироста доходов по сравнению с расходами будет указывать на повышение эффективности работы компании. </w:t>
      </w:r>
      <w:bookmarkStart w:id="34" w:name="_Toc409432299"/>
      <w:bookmarkStart w:id="35" w:name="_Toc409432254"/>
      <w:bookmarkStart w:id="36" w:name="_Toc409432091"/>
      <w:bookmarkStart w:id="37" w:name="_Toc409432012"/>
      <w:bookmarkStart w:id="38" w:name="_Toc361733825"/>
      <w:bookmarkStart w:id="39" w:name="_Toc66255278"/>
    </w:p>
    <w:p w:rsidR="000D732C" w:rsidRDefault="000D732C" w:rsidP="000D732C"/>
    <w:p w:rsidR="000D732C" w:rsidRDefault="000D732C" w:rsidP="000D732C">
      <w:pPr>
        <w:jc w:val="center"/>
        <w:rPr>
          <w:b/>
        </w:rPr>
      </w:pPr>
      <w:r>
        <w:rPr>
          <w:b/>
        </w:rPr>
        <w:t>4. Анализ структуры баланса</w:t>
      </w:r>
      <w:bookmarkEnd w:id="34"/>
      <w:bookmarkEnd w:id="35"/>
      <w:bookmarkEnd w:id="36"/>
      <w:bookmarkEnd w:id="37"/>
      <w:bookmarkEnd w:id="38"/>
      <w:bookmarkEnd w:id="39"/>
    </w:p>
    <w:p w:rsidR="000D732C" w:rsidRDefault="000D732C" w:rsidP="000D732C">
      <w:pPr>
        <w:jc w:val="center"/>
        <w:rPr>
          <w:b/>
        </w:rPr>
      </w:pPr>
    </w:p>
    <w:p w:rsidR="000D732C" w:rsidRDefault="000D732C" w:rsidP="000D732C">
      <w:pPr>
        <w:jc w:val="center"/>
        <w:rPr>
          <w:b/>
        </w:rPr>
      </w:pPr>
      <w:r>
        <w:rPr>
          <w:b/>
        </w:rPr>
        <w:t>4.1 Анализ структуры актива баланса</w:t>
      </w:r>
    </w:p>
    <w:p w:rsidR="000D732C" w:rsidRDefault="000D732C" w:rsidP="000D732C"/>
    <w:p w:rsidR="000D732C" w:rsidRDefault="000D732C" w:rsidP="000D732C">
      <w:pPr>
        <w:tabs>
          <w:tab w:val="num" w:pos="3960"/>
        </w:tabs>
        <w:spacing w:before="120"/>
        <w:ind w:firstLine="720"/>
        <w:jc w:val="both"/>
        <w:rPr>
          <w:bCs/>
        </w:rPr>
      </w:pPr>
      <w:r>
        <w:rPr>
          <w:bCs/>
        </w:rPr>
        <w:t>4.1.1 Анализ структуры активов Заемщика осуществляется на основе данных Бухгалтерского баланса (форма №0710001). Для проведения анализа следует использовать расчетный файл – вкладка баланс – «Актив» (см. Таблицу 2).</w:t>
      </w:r>
    </w:p>
    <w:p w:rsidR="000D732C" w:rsidRDefault="000D732C" w:rsidP="000D732C">
      <w:pPr>
        <w:widowControl w:val="0"/>
        <w:autoSpaceDE w:val="0"/>
        <w:autoSpaceDN w:val="0"/>
        <w:adjustRightInd w:val="0"/>
        <w:jc w:val="right"/>
        <w:rPr>
          <w:b/>
          <w:bCs/>
          <w:sz w:val="22"/>
        </w:rPr>
      </w:pPr>
      <w:r>
        <w:rPr>
          <w:b/>
          <w:i/>
          <w:iCs/>
        </w:rPr>
        <w:t>Таблица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1985"/>
        <w:gridCol w:w="2126"/>
        <w:gridCol w:w="1531"/>
        <w:gridCol w:w="708"/>
      </w:tblGrid>
      <w:tr w:rsidR="000D732C" w:rsidTr="000D732C">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D732C" w:rsidRDefault="000D732C">
            <w:pPr>
              <w:ind w:left="421" w:hanging="421"/>
              <w:rPr>
                <w:color w:val="000000"/>
              </w:rPr>
            </w:pPr>
            <w:r>
              <w:rPr>
                <w:color w:val="000000"/>
              </w:rPr>
              <w:t> </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D732C" w:rsidRDefault="000D732C">
            <w:pPr>
              <w:ind w:left="421" w:hanging="421"/>
              <w:jc w:val="center"/>
              <w:rPr>
                <w:color w:val="000000"/>
              </w:rPr>
            </w:pPr>
            <w:proofErr w:type="gramStart"/>
            <w:r>
              <w:rPr>
                <w:color w:val="000000"/>
              </w:rPr>
              <w:t>в</w:t>
            </w:r>
            <w:proofErr w:type="gramEnd"/>
            <w:r>
              <w:rPr>
                <w:color w:val="000000"/>
              </w:rPr>
              <w:t xml:space="preserve"> % </w:t>
            </w:r>
            <w:proofErr w:type="gramStart"/>
            <w:r>
              <w:rPr>
                <w:color w:val="000000"/>
              </w:rPr>
              <w:t>к</w:t>
            </w:r>
            <w:proofErr w:type="gramEnd"/>
            <w:r>
              <w:rPr>
                <w:color w:val="000000"/>
              </w:rPr>
              <w:t xml:space="preserve"> валюте баланс</w:t>
            </w:r>
          </w:p>
        </w:tc>
        <w:tc>
          <w:tcPr>
            <w:tcW w:w="2239" w:type="dxa"/>
            <w:gridSpan w:val="2"/>
            <w:tcBorders>
              <w:top w:val="single" w:sz="4" w:space="0" w:color="auto"/>
              <w:left w:val="single" w:sz="4" w:space="0" w:color="auto"/>
              <w:bottom w:val="single" w:sz="4" w:space="0" w:color="auto"/>
              <w:right w:val="single" w:sz="4" w:space="0" w:color="auto"/>
            </w:tcBorders>
            <w:vAlign w:val="bottom"/>
            <w:hideMark/>
          </w:tcPr>
          <w:p w:rsidR="000D732C" w:rsidRDefault="000D732C">
            <w:pPr>
              <w:ind w:left="421" w:hanging="421"/>
              <w:jc w:val="center"/>
              <w:rPr>
                <w:color w:val="000000"/>
              </w:rPr>
            </w:pPr>
            <w:r>
              <w:rPr>
                <w:color w:val="000000"/>
              </w:rPr>
              <w:t>Изменение за анализируемый период</w:t>
            </w:r>
          </w:p>
        </w:tc>
      </w:tr>
      <w:tr w:rsidR="000D732C" w:rsidTr="000D732C">
        <w:trPr>
          <w:trHeight w:val="900"/>
        </w:trPr>
        <w:tc>
          <w:tcPr>
            <w:tcW w:w="35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732C" w:rsidRDefault="000D732C">
            <w:pPr>
              <w:ind w:left="421" w:hanging="421"/>
              <w:jc w:val="center"/>
              <w:rPr>
                <w:color w:val="000000"/>
              </w:rPr>
            </w:pPr>
            <w:r>
              <w:rPr>
                <w:color w:val="000000"/>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732C" w:rsidRDefault="000D732C">
            <w:pPr>
              <w:jc w:val="center"/>
              <w:rPr>
                <w:color w:val="000000"/>
              </w:rPr>
            </w:pPr>
            <w:r>
              <w:rPr>
                <w:color w:val="000000"/>
              </w:rPr>
              <w:t>На начало анализируемого периода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732C" w:rsidRDefault="000D732C">
            <w:pPr>
              <w:jc w:val="center"/>
              <w:rPr>
                <w:color w:val="000000"/>
              </w:rPr>
            </w:pPr>
            <w:r>
              <w:rPr>
                <w:color w:val="000000"/>
              </w:rPr>
              <w:t>На конец анализируемого периода</w:t>
            </w:r>
          </w:p>
        </w:tc>
        <w:tc>
          <w:tcPr>
            <w:tcW w:w="15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D732C" w:rsidRDefault="000D732C">
            <w:pPr>
              <w:ind w:left="421" w:hanging="421"/>
              <w:jc w:val="center"/>
              <w:rPr>
                <w:color w:val="000000"/>
              </w:rPr>
            </w:pPr>
            <w:r>
              <w:rPr>
                <w:color w:val="000000"/>
              </w:rPr>
              <w:t>тыс. руб.</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D732C" w:rsidRDefault="000D732C">
            <w:pPr>
              <w:ind w:left="421" w:hanging="421"/>
              <w:jc w:val="center"/>
              <w:rPr>
                <w:color w:val="000000"/>
              </w:rPr>
            </w:pPr>
            <w:r>
              <w:rPr>
                <w:color w:val="000000"/>
              </w:rPr>
              <w:t>%</w:t>
            </w:r>
          </w:p>
        </w:tc>
      </w:tr>
      <w:tr w:rsidR="000D732C" w:rsidTr="000D732C">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E2EFDA"/>
            <w:noWrap/>
            <w:vAlign w:val="bottom"/>
            <w:hideMark/>
          </w:tcPr>
          <w:p w:rsidR="000D732C" w:rsidRDefault="000D732C">
            <w:pPr>
              <w:ind w:left="421" w:hanging="421"/>
              <w:rPr>
                <w:b/>
                <w:bCs/>
                <w:color w:val="000000"/>
              </w:rPr>
            </w:pPr>
            <w:r>
              <w:rPr>
                <w:b/>
                <w:bCs/>
                <w:color w:val="000000"/>
              </w:rPr>
              <w:t>АКТИВ</w:t>
            </w:r>
          </w:p>
        </w:tc>
        <w:tc>
          <w:tcPr>
            <w:tcW w:w="1985"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rsidR="000D732C" w:rsidRDefault="000D732C">
            <w:pPr>
              <w:ind w:left="421" w:hanging="421"/>
              <w:rPr>
                <w:b/>
                <w:bCs/>
                <w:color w:val="000000"/>
              </w:rPr>
            </w:pPr>
            <w:r>
              <w:rPr>
                <w:b/>
                <w:bCs/>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rsidR="000D732C" w:rsidRDefault="000D732C">
            <w:pPr>
              <w:ind w:left="421" w:hanging="421"/>
              <w:rPr>
                <w:b/>
                <w:bCs/>
                <w:color w:val="000000"/>
              </w:rPr>
            </w:pPr>
            <w:r>
              <w:rPr>
                <w:b/>
                <w:bCs/>
                <w:color w:val="000000"/>
              </w:rPr>
              <w:t> </w:t>
            </w:r>
          </w:p>
        </w:tc>
        <w:tc>
          <w:tcPr>
            <w:tcW w:w="1531"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rsidR="000D732C" w:rsidRDefault="000D732C">
            <w:pPr>
              <w:ind w:left="421" w:hanging="421"/>
              <w:rPr>
                <w:b/>
                <w:bCs/>
                <w:color w:val="000000"/>
              </w:rPr>
            </w:pPr>
            <w:r>
              <w:rPr>
                <w:b/>
                <w:bCs/>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rsidR="000D732C" w:rsidRDefault="000D732C">
            <w:pPr>
              <w:ind w:left="421" w:hanging="421"/>
              <w:rPr>
                <w:b/>
                <w:bCs/>
                <w:color w:val="000000"/>
              </w:rPr>
            </w:pPr>
            <w:r>
              <w:rPr>
                <w:b/>
                <w:bCs/>
                <w:color w:val="000000"/>
              </w:rPr>
              <w:t> </w:t>
            </w:r>
          </w:p>
        </w:tc>
      </w:tr>
      <w:tr w:rsidR="000D732C" w:rsidTr="000D732C">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D9E1F2"/>
            <w:vAlign w:val="bottom"/>
            <w:hideMark/>
          </w:tcPr>
          <w:p w:rsidR="000D732C" w:rsidRDefault="000D732C">
            <w:pPr>
              <w:ind w:left="421" w:hanging="421"/>
              <w:rPr>
                <w:color w:val="000000"/>
              </w:rPr>
            </w:pPr>
            <w:r>
              <w:rPr>
                <w:color w:val="000000"/>
              </w:rPr>
              <w:lastRenderedPageBreak/>
              <w:t>I. ВНЕОБОРОТНЫЕ АКТИВЫ</w:t>
            </w:r>
          </w:p>
        </w:tc>
        <w:tc>
          <w:tcPr>
            <w:tcW w:w="1985"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D732C" w:rsidRDefault="000D732C">
            <w:pPr>
              <w:ind w:left="421" w:hanging="421"/>
              <w:rPr>
                <w:color w:val="000000"/>
              </w:rPr>
            </w:pPr>
            <w:r>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D732C" w:rsidRDefault="000D732C">
            <w:pPr>
              <w:ind w:left="421" w:hanging="421"/>
              <w:rPr>
                <w:color w:val="000000"/>
              </w:rPr>
            </w:pPr>
            <w:r>
              <w:rPr>
                <w:color w:val="000000"/>
              </w:rPr>
              <w:t> </w:t>
            </w:r>
          </w:p>
        </w:tc>
        <w:tc>
          <w:tcPr>
            <w:tcW w:w="153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D732C" w:rsidRDefault="000D732C">
            <w:pPr>
              <w:ind w:left="421" w:hanging="421"/>
              <w:rPr>
                <w:color w:val="000000"/>
              </w:rPr>
            </w:pPr>
            <w:r>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D732C" w:rsidRDefault="000D732C">
            <w:pPr>
              <w:ind w:left="421" w:hanging="421"/>
              <w:rPr>
                <w:color w:val="000000"/>
              </w:rPr>
            </w:pPr>
            <w:r>
              <w:rPr>
                <w:color w:val="000000"/>
              </w:rPr>
              <w:t> </w:t>
            </w:r>
          </w:p>
        </w:tc>
      </w:tr>
      <w:tr w:rsidR="000D732C" w:rsidTr="000D732C">
        <w:trPr>
          <w:trHeight w:val="300"/>
        </w:trPr>
        <w:tc>
          <w:tcPr>
            <w:tcW w:w="3539" w:type="dxa"/>
            <w:tcBorders>
              <w:top w:val="single" w:sz="4" w:space="0" w:color="auto"/>
              <w:left w:val="single" w:sz="4" w:space="0" w:color="auto"/>
              <w:bottom w:val="single" w:sz="4" w:space="0" w:color="auto"/>
              <w:right w:val="single" w:sz="4" w:space="0" w:color="auto"/>
            </w:tcBorders>
            <w:vAlign w:val="bottom"/>
            <w:hideMark/>
          </w:tcPr>
          <w:p w:rsidR="000D732C" w:rsidRDefault="000D732C">
            <w:pPr>
              <w:ind w:left="421" w:hanging="421"/>
              <w:rPr>
                <w:color w:val="000000"/>
              </w:rPr>
            </w:pPr>
            <w:r>
              <w:rPr>
                <w:color w:val="000000"/>
              </w:rPr>
              <w:t>Нематериальные активы</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1531"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rPr>
                <w:color w:val="000000"/>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jc w:val="right"/>
              <w:rPr>
                <w:color w:val="000000"/>
              </w:rPr>
            </w:pPr>
          </w:p>
        </w:tc>
      </w:tr>
      <w:tr w:rsidR="000D732C" w:rsidTr="000D732C">
        <w:trPr>
          <w:trHeight w:val="300"/>
        </w:trPr>
        <w:tc>
          <w:tcPr>
            <w:tcW w:w="3539" w:type="dxa"/>
            <w:tcBorders>
              <w:top w:val="single" w:sz="4" w:space="0" w:color="auto"/>
              <w:left w:val="single" w:sz="4" w:space="0" w:color="auto"/>
              <w:bottom w:val="single" w:sz="4" w:space="0" w:color="auto"/>
              <w:right w:val="single" w:sz="4" w:space="0" w:color="auto"/>
            </w:tcBorders>
            <w:vAlign w:val="bottom"/>
            <w:hideMark/>
          </w:tcPr>
          <w:p w:rsidR="000D732C" w:rsidRDefault="000D732C">
            <w:pPr>
              <w:ind w:left="421" w:hanging="421"/>
              <w:rPr>
                <w:color w:val="000000"/>
              </w:rPr>
            </w:pPr>
            <w:r>
              <w:rPr>
                <w:color w:val="000000"/>
              </w:rPr>
              <w:t>Результаты исследований и разработок</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1531"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rPr>
                <w:color w:val="000000"/>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jc w:val="right"/>
              <w:rPr>
                <w:color w:val="000000"/>
              </w:rPr>
            </w:pPr>
          </w:p>
        </w:tc>
      </w:tr>
      <w:tr w:rsidR="000D732C" w:rsidTr="000D732C">
        <w:trPr>
          <w:trHeight w:val="300"/>
        </w:trPr>
        <w:tc>
          <w:tcPr>
            <w:tcW w:w="3539" w:type="dxa"/>
            <w:tcBorders>
              <w:top w:val="single" w:sz="4" w:space="0" w:color="auto"/>
              <w:left w:val="single" w:sz="4" w:space="0" w:color="auto"/>
              <w:bottom w:val="single" w:sz="4" w:space="0" w:color="auto"/>
              <w:right w:val="single" w:sz="4" w:space="0" w:color="auto"/>
            </w:tcBorders>
            <w:vAlign w:val="bottom"/>
            <w:hideMark/>
          </w:tcPr>
          <w:p w:rsidR="000D732C" w:rsidRDefault="000D732C">
            <w:pPr>
              <w:ind w:left="421" w:hanging="421"/>
              <w:rPr>
                <w:color w:val="000000"/>
              </w:rPr>
            </w:pPr>
            <w:r>
              <w:rPr>
                <w:color w:val="000000"/>
              </w:rPr>
              <w:t>Нематериальные поисковые активы</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1531"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rPr>
                <w:color w:val="000000"/>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jc w:val="right"/>
              <w:rPr>
                <w:color w:val="000000"/>
              </w:rPr>
            </w:pPr>
          </w:p>
        </w:tc>
      </w:tr>
      <w:tr w:rsidR="000D732C" w:rsidTr="000D732C">
        <w:trPr>
          <w:trHeight w:val="300"/>
        </w:trPr>
        <w:tc>
          <w:tcPr>
            <w:tcW w:w="3539" w:type="dxa"/>
            <w:tcBorders>
              <w:top w:val="single" w:sz="4" w:space="0" w:color="auto"/>
              <w:left w:val="single" w:sz="4" w:space="0" w:color="auto"/>
              <w:bottom w:val="single" w:sz="4" w:space="0" w:color="auto"/>
              <w:right w:val="single" w:sz="4" w:space="0" w:color="auto"/>
            </w:tcBorders>
            <w:vAlign w:val="bottom"/>
            <w:hideMark/>
          </w:tcPr>
          <w:p w:rsidR="000D732C" w:rsidRDefault="000D732C">
            <w:pPr>
              <w:ind w:left="421" w:hanging="421"/>
              <w:rPr>
                <w:color w:val="000000"/>
              </w:rPr>
            </w:pPr>
            <w:r>
              <w:rPr>
                <w:color w:val="000000"/>
              </w:rPr>
              <w:t>Материальные поисковые активы</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1531"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rPr>
                <w:color w:val="000000"/>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jc w:val="right"/>
              <w:rPr>
                <w:color w:val="000000"/>
              </w:rPr>
            </w:pPr>
          </w:p>
        </w:tc>
      </w:tr>
      <w:tr w:rsidR="000D732C" w:rsidTr="000D732C">
        <w:trPr>
          <w:trHeight w:val="300"/>
        </w:trPr>
        <w:tc>
          <w:tcPr>
            <w:tcW w:w="3539" w:type="dxa"/>
            <w:tcBorders>
              <w:top w:val="single" w:sz="4" w:space="0" w:color="auto"/>
              <w:left w:val="single" w:sz="4" w:space="0" w:color="auto"/>
              <w:bottom w:val="single" w:sz="4" w:space="0" w:color="auto"/>
              <w:right w:val="single" w:sz="4" w:space="0" w:color="auto"/>
            </w:tcBorders>
            <w:vAlign w:val="bottom"/>
            <w:hideMark/>
          </w:tcPr>
          <w:p w:rsidR="000D732C" w:rsidRDefault="000D732C">
            <w:pPr>
              <w:ind w:left="421" w:hanging="421"/>
              <w:rPr>
                <w:color w:val="000000"/>
              </w:rPr>
            </w:pPr>
            <w:r>
              <w:rPr>
                <w:color w:val="000000"/>
              </w:rPr>
              <w:t>Основные средства</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1531"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rPr>
                <w:color w:val="000000"/>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jc w:val="right"/>
              <w:rPr>
                <w:color w:val="000000"/>
              </w:rPr>
            </w:pPr>
          </w:p>
        </w:tc>
      </w:tr>
      <w:tr w:rsidR="000D732C" w:rsidTr="000D732C">
        <w:trPr>
          <w:trHeight w:val="600"/>
        </w:trPr>
        <w:tc>
          <w:tcPr>
            <w:tcW w:w="3539" w:type="dxa"/>
            <w:tcBorders>
              <w:top w:val="single" w:sz="4" w:space="0" w:color="auto"/>
              <w:left w:val="single" w:sz="4" w:space="0" w:color="auto"/>
              <w:bottom w:val="single" w:sz="4" w:space="0" w:color="auto"/>
              <w:right w:val="single" w:sz="4" w:space="0" w:color="auto"/>
            </w:tcBorders>
            <w:vAlign w:val="bottom"/>
            <w:hideMark/>
          </w:tcPr>
          <w:p w:rsidR="000D732C" w:rsidRDefault="000D732C">
            <w:pPr>
              <w:ind w:left="421" w:hanging="421"/>
              <w:rPr>
                <w:color w:val="000000"/>
              </w:rPr>
            </w:pPr>
            <w:r>
              <w:rPr>
                <w:color w:val="000000"/>
              </w:rPr>
              <w:t>Доходные вложения в материальные</w:t>
            </w:r>
            <w:r>
              <w:rPr>
                <w:color w:val="000000"/>
              </w:rPr>
              <w:br/>
              <w:t>ценности</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1531"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rPr>
                <w:color w:val="000000"/>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jc w:val="right"/>
              <w:rPr>
                <w:color w:val="000000"/>
              </w:rPr>
            </w:pPr>
          </w:p>
        </w:tc>
      </w:tr>
      <w:tr w:rsidR="000D732C" w:rsidTr="000D732C">
        <w:trPr>
          <w:trHeight w:val="300"/>
        </w:trPr>
        <w:tc>
          <w:tcPr>
            <w:tcW w:w="3539" w:type="dxa"/>
            <w:tcBorders>
              <w:top w:val="single" w:sz="4" w:space="0" w:color="auto"/>
              <w:left w:val="single" w:sz="4" w:space="0" w:color="auto"/>
              <w:bottom w:val="single" w:sz="4" w:space="0" w:color="auto"/>
              <w:right w:val="single" w:sz="4" w:space="0" w:color="auto"/>
            </w:tcBorders>
            <w:vAlign w:val="bottom"/>
            <w:hideMark/>
          </w:tcPr>
          <w:p w:rsidR="000D732C" w:rsidRDefault="000D732C">
            <w:pPr>
              <w:ind w:left="421" w:hanging="421"/>
              <w:rPr>
                <w:color w:val="000000"/>
              </w:rPr>
            </w:pPr>
            <w:r>
              <w:rPr>
                <w:color w:val="000000"/>
              </w:rPr>
              <w:t>Финансовые вложения</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1531"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rPr>
                <w:color w:val="000000"/>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jc w:val="right"/>
              <w:rPr>
                <w:color w:val="000000"/>
              </w:rPr>
            </w:pPr>
          </w:p>
        </w:tc>
      </w:tr>
      <w:tr w:rsidR="000D732C" w:rsidTr="000D732C">
        <w:trPr>
          <w:trHeight w:val="300"/>
        </w:trPr>
        <w:tc>
          <w:tcPr>
            <w:tcW w:w="3539" w:type="dxa"/>
            <w:tcBorders>
              <w:top w:val="single" w:sz="4" w:space="0" w:color="auto"/>
              <w:left w:val="single" w:sz="4" w:space="0" w:color="auto"/>
              <w:bottom w:val="single" w:sz="4" w:space="0" w:color="auto"/>
              <w:right w:val="single" w:sz="4" w:space="0" w:color="auto"/>
            </w:tcBorders>
            <w:vAlign w:val="bottom"/>
            <w:hideMark/>
          </w:tcPr>
          <w:p w:rsidR="000D732C" w:rsidRDefault="000D732C">
            <w:pPr>
              <w:ind w:left="421" w:hanging="421"/>
              <w:rPr>
                <w:color w:val="000000"/>
              </w:rPr>
            </w:pPr>
            <w:r>
              <w:rPr>
                <w:color w:val="000000"/>
              </w:rPr>
              <w:t>Отложенные налоговые активы</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1531"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rPr>
                <w:color w:val="000000"/>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jc w:val="right"/>
              <w:rPr>
                <w:color w:val="000000"/>
              </w:rPr>
            </w:pPr>
          </w:p>
        </w:tc>
      </w:tr>
      <w:tr w:rsidR="000D732C" w:rsidTr="000D732C">
        <w:trPr>
          <w:trHeight w:val="300"/>
        </w:trPr>
        <w:tc>
          <w:tcPr>
            <w:tcW w:w="3539" w:type="dxa"/>
            <w:tcBorders>
              <w:top w:val="single" w:sz="4" w:space="0" w:color="auto"/>
              <w:left w:val="single" w:sz="4" w:space="0" w:color="auto"/>
              <w:bottom w:val="single" w:sz="4" w:space="0" w:color="auto"/>
              <w:right w:val="single" w:sz="4" w:space="0" w:color="auto"/>
            </w:tcBorders>
            <w:vAlign w:val="bottom"/>
            <w:hideMark/>
          </w:tcPr>
          <w:p w:rsidR="000D732C" w:rsidRDefault="000D732C">
            <w:pPr>
              <w:ind w:left="421" w:hanging="421"/>
              <w:rPr>
                <w:color w:val="000000"/>
              </w:rPr>
            </w:pPr>
            <w:r>
              <w:rPr>
                <w:color w:val="000000"/>
              </w:rPr>
              <w:t xml:space="preserve">Прочие </w:t>
            </w:r>
            <w:proofErr w:type="spellStart"/>
            <w:r>
              <w:rPr>
                <w:color w:val="000000"/>
              </w:rPr>
              <w:t>внеоборотные</w:t>
            </w:r>
            <w:proofErr w:type="spellEnd"/>
            <w:r>
              <w:rPr>
                <w:color w:val="000000"/>
              </w:rPr>
              <w:t xml:space="preserve"> активы</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1531"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rPr>
                <w:color w:val="000000"/>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jc w:val="right"/>
              <w:rPr>
                <w:color w:val="000000"/>
              </w:rPr>
            </w:pPr>
          </w:p>
        </w:tc>
      </w:tr>
      <w:tr w:rsidR="000D732C" w:rsidTr="000D732C">
        <w:trPr>
          <w:trHeight w:val="300"/>
        </w:trPr>
        <w:tc>
          <w:tcPr>
            <w:tcW w:w="3539" w:type="dxa"/>
            <w:tcBorders>
              <w:top w:val="single" w:sz="4" w:space="0" w:color="auto"/>
              <w:left w:val="single" w:sz="4" w:space="0" w:color="auto"/>
              <w:bottom w:val="single" w:sz="4" w:space="0" w:color="auto"/>
              <w:right w:val="single" w:sz="4" w:space="0" w:color="auto"/>
            </w:tcBorders>
            <w:vAlign w:val="bottom"/>
            <w:hideMark/>
          </w:tcPr>
          <w:p w:rsidR="000D732C" w:rsidRDefault="000D732C">
            <w:pPr>
              <w:ind w:left="421" w:hanging="421"/>
              <w:rPr>
                <w:b/>
                <w:bCs/>
                <w:color w:val="000000"/>
              </w:rPr>
            </w:pPr>
            <w:r>
              <w:rPr>
                <w:b/>
                <w:bCs/>
                <w:color w:val="000000"/>
              </w:rPr>
              <w:t>Итого по разделу I</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1531"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rPr>
                <w:b/>
                <w:bCs/>
                <w:color w:val="000000"/>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jc w:val="right"/>
              <w:rPr>
                <w:b/>
                <w:bCs/>
                <w:color w:val="000000"/>
              </w:rPr>
            </w:pPr>
          </w:p>
        </w:tc>
      </w:tr>
      <w:tr w:rsidR="000D732C" w:rsidTr="000D732C">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D9E1F2"/>
            <w:vAlign w:val="bottom"/>
            <w:hideMark/>
          </w:tcPr>
          <w:p w:rsidR="000D732C" w:rsidRDefault="000D732C">
            <w:pPr>
              <w:ind w:left="421" w:hanging="421"/>
              <w:rPr>
                <w:color w:val="000000"/>
              </w:rPr>
            </w:pPr>
            <w:r>
              <w:rPr>
                <w:color w:val="000000"/>
              </w:rPr>
              <w:t>II. ОБОРОТНЫЕ АКТИВЫ</w:t>
            </w:r>
          </w:p>
        </w:tc>
        <w:tc>
          <w:tcPr>
            <w:tcW w:w="1985" w:type="dxa"/>
            <w:tcBorders>
              <w:top w:val="single" w:sz="4" w:space="0" w:color="auto"/>
              <w:left w:val="single" w:sz="4" w:space="0" w:color="auto"/>
              <w:bottom w:val="single" w:sz="4" w:space="0" w:color="auto"/>
              <w:right w:val="single" w:sz="4" w:space="0" w:color="auto"/>
            </w:tcBorders>
            <w:shd w:val="clear" w:color="auto" w:fill="D9E1F2"/>
            <w:noWrap/>
            <w:vAlign w:val="center"/>
          </w:tcPr>
          <w:p w:rsidR="000D732C" w:rsidRDefault="000D732C">
            <w:pPr>
              <w:ind w:left="421" w:hanging="421"/>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D9E1F2"/>
            <w:noWrap/>
            <w:vAlign w:val="center"/>
          </w:tcPr>
          <w:p w:rsidR="000D732C" w:rsidRDefault="000D732C">
            <w:pPr>
              <w:ind w:left="421" w:hanging="421"/>
              <w:rPr>
                <w:color w:val="000000"/>
              </w:rPr>
            </w:pPr>
          </w:p>
        </w:tc>
        <w:tc>
          <w:tcPr>
            <w:tcW w:w="1531" w:type="dxa"/>
            <w:tcBorders>
              <w:top w:val="single" w:sz="4" w:space="0" w:color="auto"/>
              <w:left w:val="single" w:sz="4" w:space="0" w:color="auto"/>
              <w:bottom w:val="single" w:sz="4" w:space="0" w:color="auto"/>
              <w:right w:val="single" w:sz="4" w:space="0" w:color="auto"/>
            </w:tcBorders>
            <w:shd w:val="clear" w:color="auto" w:fill="D9E1F2"/>
            <w:noWrap/>
            <w:vAlign w:val="center"/>
          </w:tcPr>
          <w:p w:rsidR="000D732C" w:rsidRDefault="000D732C">
            <w:pPr>
              <w:ind w:left="421" w:hanging="421"/>
              <w:jc w:val="right"/>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D9E1F2"/>
            <w:noWrap/>
            <w:vAlign w:val="center"/>
          </w:tcPr>
          <w:p w:rsidR="000D732C" w:rsidRDefault="000D732C">
            <w:pPr>
              <w:ind w:left="421" w:hanging="421"/>
              <w:jc w:val="right"/>
              <w:rPr>
                <w:color w:val="000000"/>
              </w:rPr>
            </w:pPr>
          </w:p>
        </w:tc>
      </w:tr>
      <w:tr w:rsidR="000D732C" w:rsidTr="000D732C">
        <w:trPr>
          <w:trHeight w:val="300"/>
        </w:trPr>
        <w:tc>
          <w:tcPr>
            <w:tcW w:w="3539" w:type="dxa"/>
            <w:tcBorders>
              <w:top w:val="single" w:sz="4" w:space="0" w:color="auto"/>
              <w:left w:val="single" w:sz="4" w:space="0" w:color="auto"/>
              <w:bottom w:val="single" w:sz="4" w:space="0" w:color="auto"/>
              <w:right w:val="single" w:sz="4" w:space="0" w:color="auto"/>
            </w:tcBorders>
            <w:vAlign w:val="bottom"/>
            <w:hideMark/>
          </w:tcPr>
          <w:p w:rsidR="000D732C" w:rsidRDefault="000D732C">
            <w:pPr>
              <w:ind w:left="421" w:hanging="421"/>
              <w:rPr>
                <w:color w:val="000000"/>
              </w:rPr>
            </w:pPr>
            <w:r>
              <w:rPr>
                <w:color w:val="000000"/>
              </w:rPr>
              <w:t>Запасы</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1531"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rPr>
                <w:color w:val="000000"/>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jc w:val="right"/>
              <w:rPr>
                <w:color w:val="000000"/>
              </w:rPr>
            </w:pPr>
          </w:p>
        </w:tc>
      </w:tr>
      <w:tr w:rsidR="000D732C" w:rsidTr="000D732C">
        <w:trPr>
          <w:trHeight w:val="600"/>
        </w:trPr>
        <w:tc>
          <w:tcPr>
            <w:tcW w:w="3539" w:type="dxa"/>
            <w:tcBorders>
              <w:top w:val="single" w:sz="4" w:space="0" w:color="auto"/>
              <w:left w:val="single" w:sz="4" w:space="0" w:color="auto"/>
              <w:bottom w:val="single" w:sz="4" w:space="0" w:color="auto"/>
              <w:right w:val="single" w:sz="4" w:space="0" w:color="auto"/>
            </w:tcBorders>
            <w:vAlign w:val="bottom"/>
            <w:hideMark/>
          </w:tcPr>
          <w:p w:rsidR="000D732C" w:rsidRDefault="000D732C">
            <w:pPr>
              <w:ind w:left="421" w:hanging="421"/>
              <w:rPr>
                <w:color w:val="000000"/>
              </w:rPr>
            </w:pPr>
            <w:r>
              <w:rPr>
                <w:color w:val="000000"/>
              </w:rPr>
              <w:t>Налог на добавленную стоимость по приобретенным ценностям</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1531"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rPr>
                <w:color w:val="000000"/>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jc w:val="right"/>
              <w:rPr>
                <w:color w:val="000000"/>
              </w:rPr>
            </w:pPr>
          </w:p>
        </w:tc>
      </w:tr>
      <w:tr w:rsidR="000D732C" w:rsidTr="000D732C">
        <w:trPr>
          <w:trHeight w:val="300"/>
        </w:trPr>
        <w:tc>
          <w:tcPr>
            <w:tcW w:w="3539" w:type="dxa"/>
            <w:tcBorders>
              <w:top w:val="single" w:sz="4" w:space="0" w:color="auto"/>
              <w:left w:val="single" w:sz="4" w:space="0" w:color="auto"/>
              <w:bottom w:val="single" w:sz="4" w:space="0" w:color="auto"/>
              <w:right w:val="single" w:sz="4" w:space="0" w:color="auto"/>
            </w:tcBorders>
            <w:vAlign w:val="bottom"/>
            <w:hideMark/>
          </w:tcPr>
          <w:p w:rsidR="000D732C" w:rsidRDefault="000D732C">
            <w:pPr>
              <w:ind w:left="421" w:hanging="421"/>
              <w:rPr>
                <w:color w:val="000000"/>
              </w:rPr>
            </w:pPr>
            <w:r>
              <w:rPr>
                <w:color w:val="000000"/>
              </w:rPr>
              <w:t>Дебиторская задолженность</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1531"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rPr>
                <w:color w:val="000000"/>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jc w:val="right"/>
              <w:rPr>
                <w:color w:val="000000"/>
              </w:rPr>
            </w:pPr>
          </w:p>
        </w:tc>
      </w:tr>
      <w:tr w:rsidR="000D732C" w:rsidTr="000D732C">
        <w:trPr>
          <w:trHeight w:val="600"/>
        </w:trPr>
        <w:tc>
          <w:tcPr>
            <w:tcW w:w="3539" w:type="dxa"/>
            <w:tcBorders>
              <w:top w:val="single" w:sz="4" w:space="0" w:color="auto"/>
              <w:left w:val="single" w:sz="4" w:space="0" w:color="auto"/>
              <w:bottom w:val="single" w:sz="4" w:space="0" w:color="auto"/>
              <w:right w:val="single" w:sz="4" w:space="0" w:color="auto"/>
            </w:tcBorders>
            <w:vAlign w:val="bottom"/>
            <w:hideMark/>
          </w:tcPr>
          <w:p w:rsidR="000D732C" w:rsidRDefault="000D732C">
            <w:pPr>
              <w:ind w:left="421" w:hanging="421"/>
              <w:rPr>
                <w:color w:val="000000"/>
              </w:rPr>
            </w:pPr>
            <w:r>
              <w:rPr>
                <w:color w:val="000000"/>
              </w:rPr>
              <w:t>Финансовые вложения (за исключением денежных эквивалентов)</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1531"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rPr>
                <w:color w:val="000000"/>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jc w:val="right"/>
              <w:rPr>
                <w:color w:val="000000"/>
              </w:rPr>
            </w:pPr>
          </w:p>
        </w:tc>
      </w:tr>
      <w:tr w:rsidR="000D732C" w:rsidTr="000D732C">
        <w:trPr>
          <w:trHeight w:val="300"/>
        </w:trPr>
        <w:tc>
          <w:tcPr>
            <w:tcW w:w="3539" w:type="dxa"/>
            <w:tcBorders>
              <w:top w:val="single" w:sz="4" w:space="0" w:color="auto"/>
              <w:left w:val="single" w:sz="4" w:space="0" w:color="auto"/>
              <w:bottom w:val="single" w:sz="4" w:space="0" w:color="auto"/>
              <w:right w:val="single" w:sz="4" w:space="0" w:color="auto"/>
            </w:tcBorders>
            <w:vAlign w:val="bottom"/>
            <w:hideMark/>
          </w:tcPr>
          <w:p w:rsidR="000D732C" w:rsidRDefault="000D732C">
            <w:pPr>
              <w:ind w:left="421" w:hanging="421"/>
              <w:rPr>
                <w:color w:val="000000"/>
              </w:rPr>
            </w:pPr>
            <w:r>
              <w:rPr>
                <w:color w:val="000000"/>
              </w:rPr>
              <w:t>Денежные средства и денежные эквиваленты</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1531"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rPr>
                <w:color w:val="000000"/>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jc w:val="right"/>
              <w:rPr>
                <w:color w:val="000000"/>
              </w:rPr>
            </w:pPr>
          </w:p>
        </w:tc>
      </w:tr>
      <w:tr w:rsidR="000D732C" w:rsidTr="000D732C">
        <w:trPr>
          <w:trHeight w:val="300"/>
        </w:trPr>
        <w:tc>
          <w:tcPr>
            <w:tcW w:w="3539" w:type="dxa"/>
            <w:tcBorders>
              <w:top w:val="single" w:sz="4" w:space="0" w:color="auto"/>
              <w:left w:val="single" w:sz="4" w:space="0" w:color="auto"/>
              <w:bottom w:val="single" w:sz="4" w:space="0" w:color="auto"/>
              <w:right w:val="single" w:sz="4" w:space="0" w:color="auto"/>
            </w:tcBorders>
            <w:vAlign w:val="bottom"/>
            <w:hideMark/>
          </w:tcPr>
          <w:p w:rsidR="000D732C" w:rsidRDefault="000D732C">
            <w:pPr>
              <w:ind w:left="421" w:hanging="421"/>
              <w:rPr>
                <w:color w:val="000000"/>
              </w:rPr>
            </w:pPr>
            <w:r>
              <w:rPr>
                <w:color w:val="000000"/>
              </w:rPr>
              <w:t>Прочие оборотные активы</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1531"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rPr>
                <w:color w:val="000000"/>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jc w:val="right"/>
              <w:rPr>
                <w:color w:val="000000"/>
              </w:rPr>
            </w:pPr>
          </w:p>
        </w:tc>
      </w:tr>
      <w:tr w:rsidR="000D732C" w:rsidTr="000D732C">
        <w:trPr>
          <w:trHeight w:val="300"/>
        </w:trPr>
        <w:tc>
          <w:tcPr>
            <w:tcW w:w="3539" w:type="dxa"/>
            <w:tcBorders>
              <w:top w:val="single" w:sz="4" w:space="0" w:color="auto"/>
              <w:left w:val="single" w:sz="4" w:space="0" w:color="auto"/>
              <w:bottom w:val="single" w:sz="4" w:space="0" w:color="auto"/>
              <w:right w:val="single" w:sz="4" w:space="0" w:color="auto"/>
            </w:tcBorders>
            <w:vAlign w:val="bottom"/>
            <w:hideMark/>
          </w:tcPr>
          <w:p w:rsidR="000D732C" w:rsidRDefault="000D732C">
            <w:pPr>
              <w:ind w:left="421" w:hanging="421"/>
              <w:rPr>
                <w:b/>
                <w:bCs/>
                <w:color w:val="000000"/>
              </w:rPr>
            </w:pPr>
            <w:r>
              <w:rPr>
                <w:b/>
                <w:bCs/>
                <w:color w:val="000000"/>
              </w:rPr>
              <w:t>Итого по разделу II</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1531"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rPr>
                <w:b/>
                <w:bCs/>
                <w:color w:val="000000"/>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jc w:val="right"/>
              <w:rPr>
                <w:b/>
                <w:bCs/>
                <w:color w:val="000000"/>
              </w:rPr>
            </w:pPr>
          </w:p>
        </w:tc>
      </w:tr>
      <w:tr w:rsidR="000D732C" w:rsidTr="000D732C">
        <w:trPr>
          <w:trHeight w:val="300"/>
        </w:trPr>
        <w:tc>
          <w:tcPr>
            <w:tcW w:w="3539" w:type="dxa"/>
            <w:tcBorders>
              <w:top w:val="single" w:sz="4" w:space="0" w:color="auto"/>
              <w:left w:val="single" w:sz="4" w:space="0" w:color="auto"/>
              <w:bottom w:val="single" w:sz="4" w:space="0" w:color="auto"/>
              <w:right w:val="single" w:sz="4" w:space="0" w:color="auto"/>
            </w:tcBorders>
            <w:vAlign w:val="bottom"/>
            <w:hideMark/>
          </w:tcPr>
          <w:p w:rsidR="000D732C" w:rsidRDefault="000D732C">
            <w:pPr>
              <w:ind w:left="421" w:hanging="421"/>
              <w:rPr>
                <w:b/>
                <w:bCs/>
                <w:color w:val="000000"/>
              </w:rPr>
            </w:pPr>
            <w:r>
              <w:rPr>
                <w:b/>
                <w:bCs/>
                <w:color w:val="000000"/>
              </w:rPr>
              <w:t>БАЛАНС</w:t>
            </w: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ind w:left="421" w:hanging="421"/>
              <w:jc w:val="center"/>
              <w:rPr>
                <w:color w:val="000000"/>
              </w:rPr>
            </w:pPr>
          </w:p>
        </w:tc>
        <w:tc>
          <w:tcPr>
            <w:tcW w:w="1531"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rPr>
                <w:b/>
                <w:bCs/>
                <w:color w:val="000000"/>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jc w:val="right"/>
              <w:rPr>
                <w:b/>
                <w:bCs/>
                <w:color w:val="000000"/>
              </w:rPr>
            </w:pPr>
          </w:p>
        </w:tc>
      </w:tr>
    </w:tbl>
    <w:p w:rsidR="000D732C" w:rsidRDefault="000D732C" w:rsidP="000D732C">
      <w:pPr>
        <w:tabs>
          <w:tab w:val="num" w:pos="3960"/>
        </w:tabs>
        <w:spacing w:before="120"/>
        <w:ind w:firstLine="720"/>
        <w:jc w:val="both"/>
        <w:rPr>
          <w:bCs/>
        </w:rPr>
      </w:pPr>
      <w:r>
        <w:rPr>
          <w:bCs/>
        </w:rPr>
        <w:t xml:space="preserve">4.1.2. В целях анализа финансовой устойчивости и платежеспособности Заемщика активы в Таблице 2 сгруппированы на </w:t>
      </w:r>
      <w:proofErr w:type="spellStart"/>
      <w:r>
        <w:rPr>
          <w:bCs/>
        </w:rPr>
        <w:t>внеоборотные</w:t>
      </w:r>
      <w:proofErr w:type="spellEnd"/>
      <w:r>
        <w:rPr>
          <w:bCs/>
        </w:rPr>
        <w:t xml:space="preserve"> и оборотные, т.е. по принципу ликвидности.</w:t>
      </w:r>
    </w:p>
    <w:p w:rsidR="000D732C" w:rsidRDefault="000D732C" w:rsidP="000D732C">
      <w:pPr>
        <w:tabs>
          <w:tab w:val="num" w:pos="3960"/>
        </w:tabs>
        <w:spacing w:before="120"/>
        <w:ind w:firstLine="720"/>
        <w:jc w:val="both"/>
        <w:rPr>
          <w:bCs/>
        </w:rPr>
      </w:pPr>
      <w:r>
        <w:rPr>
          <w:bCs/>
        </w:rPr>
        <w:t>4.1.3. Строка "</w:t>
      </w:r>
      <w:proofErr w:type="spellStart"/>
      <w:r>
        <w:rPr>
          <w:bCs/>
        </w:rPr>
        <w:t>Внеоборотные</w:t>
      </w:r>
      <w:proofErr w:type="spellEnd"/>
      <w:r>
        <w:rPr>
          <w:bCs/>
        </w:rPr>
        <w:t xml:space="preserve"> активы" представляет сумму следующих показателей:</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 xml:space="preserve">"Нематериальные активы", к ним относятся результаты исследований и разработок, организационные расходы, патенты и прочие нематериальные активы, находящиеся на балансе </w:t>
      </w:r>
      <w:r>
        <w:rPr>
          <w:color w:val="000000"/>
          <w:sz w:val="23"/>
          <w:szCs w:val="23"/>
        </w:rPr>
        <w:t>Заемщика</w:t>
      </w:r>
      <w:r>
        <w:rPr>
          <w:rFonts w:ascii="&amp;quot" w:hAnsi="&amp;quot"/>
          <w:color w:val="000000"/>
          <w:sz w:val="23"/>
          <w:szCs w:val="23"/>
        </w:rPr>
        <w:t>;</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"Основные средства" – это сумма основных средств Заемщика и величины доходных вложений в материальные ценности;</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 xml:space="preserve">"Вложения во </w:t>
      </w:r>
      <w:proofErr w:type="spellStart"/>
      <w:r>
        <w:rPr>
          <w:rFonts w:ascii="&amp;quot" w:hAnsi="&amp;quot"/>
          <w:color w:val="000000"/>
          <w:sz w:val="23"/>
          <w:szCs w:val="23"/>
        </w:rPr>
        <w:t>внеоборотные</w:t>
      </w:r>
      <w:proofErr w:type="spellEnd"/>
      <w:r>
        <w:rPr>
          <w:rFonts w:ascii="&amp;quot" w:hAnsi="&amp;quot"/>
          <w:color w:val="000000"/>
          <w:sz w:val="23"/>
          <w:szCs w:val="23"/>
        </w:rPr>
        <w:t xml:space="preserve"> активы" – величина незавершенных капвложений Заемщика;</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"Долгосрочные финансовые вложения" – сумма всех долгосрочных финансовых вложений Заемщика;</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 xml:space="preserve">"Прочие </w:t>
      </w:r>
      <w:proofErr w:type="spellStart"/>
      <w:r>
        <w:rPr>
          <w:rFonts w:ascii="&amp;quot" w:hAnsi="&amp;quot"/>
          <w:color w:val="000000"/>
          <w:sz w:val="23"/>
          <w:szCs w:val="23"/>
        </w:rPr>
        <w:t>внеоборотные</w:t>
      </w:r>
      <w:proofErr w:type="spellEnd"/>
      <w:r>
        <w:rPr>
          <w:rFonts w:ascii="&amp;quot" w:hAnsi="&amp;quot"/>
          <w:color w:val="000000"/>
          <w:sz w:val="23"/>
          <w:szCs w:val="23"/>
        </w:rPr>
        <w:t xml:space="preserve"> активы" – отложенные налоговые активы и прочие </w:t>
      </w:r>
      <w:proofErr w:type="spellStart"/>
      <w:r>
        <w:rPr>
          <w:rFonts w:ascii="&amp;quot" w:hAnsi="&amp;quot"/>
          <w:color w:val="000000"/>
          <w:sz w:val="23"/>
          <w:szCs w:val="23"/>
        </w:rPr>
        <w:t>внеоборотные</w:t>
      </w:r>
      <w:proofErr w:type="spellEnd"/>
      <w:r>
        <w:rPr>
          <w:rFonts w:ascii="&amp;quot" w:hAnsi="&amp;quot"/>
          <w:color w:val="000000"/>
          <w:sz w:val="23"/>
          <w:szCs w:val="23"/>
        </w:rPr>
        <w:t xml:space="preserve"> активы, не нашедшие отражение в предыдущих показателях.</w:t>
      </w:r>
    </w:p>
    <w:p w:rsidR="000D732C" w:rsidRDefault="000D732C" w:rsidP="000D732C">
      <w:pPr>
        <w:tabs>
          <w:tab w:val="num" w:pos="3960"/>
        </w:tabs>
        <w:spacing w:before="120"/>
        <w:ind w:firstLine="720"/>
        <w:jc w:val="both"/>
        <w:rPr>
          <w:bCs/>
        </w:rPr>
      </w:pPr>
      <w:r>
        <w:rPr>
          <w:bCs/>
        </w:rPr>
        <w:t>4.1.4. Строка "Оборотные активы" рассчитывается как сумма следующих показателей:</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"Запасы" – сырье, материалы, готовая продукция для перепродажи и иные аналогичные материальные активы;</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 xml:space="preserve">"Дебиторская задолженность", к ним относятся дебиторская задолженность покупателей и заказчиков, задолженность по векселям к получению, задолженность дочерних и зависимых </w:t>
      </w:r>
      <w:r>
        <w:rPr>
          <w:rFonts w:ascii="&amp;quot" w:hAnsi="&amp;quot"/>
          <w:color w:val="000000"/>
          <w:sz w:val="23"/>
          <w:szCs w:val="23"/>
        </w:rPr>
        <w:lastRenderedPageBreak/>
        <w:t>обществ, задолженность по авансам выданным, задолженность по расчетам с прочими дебиторами</w:t>
      </w:r>
      <w:r>
        <w:rPr>
          <w:rFonts w:ascii="&amp;quot" w:hAnsi="&amp;quot"/>
          <w:color w:val="000000"/>
          <w:sz w:val="23"/>
          <w:szCs w:val="23"/>
        </w:rPr>
        <w:footnoteReference w:id="1"/>
      </w:r>
      <w:r>
        <w:rPr>
          <w:rFonts w:ascii="&amp;quot" w:hAnsi="&amp;quot"/>
          <w:color w:val="000000"/>
          <w:sz w:val="23"/>
          <w:szCs w:val="23"/>
        </w:rPr>
        <w:t>;</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"Краткосрочные финансовые вложения" – сумма краткосрочных финансовых вложений;</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"Денежные средства" – сумма наличных и безналичных денежных средств.</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"Прочие оборотные активы" – сумма оборотных активов, не включенных в перечисленные выше показатели, включая НДС по приобретенным ценностям и прочие запасы и затраты.</w:t>
      </w:r>
    </w:p>
    <w:p w:rsidR="000D732C" w:rsidRDefault="000D732C" w:rsidP="000D732C">
      <w:pPr>
        <w:tabs>
          <w:tab w:val="num" w:pos="3960"/>
        </w:tabs>
        <w:spacing w:before="120"/>
        <w:ind w:firstLine="720"/>
        <w:jc w:val="both"/>
        <w:rPr>
          <w:bCs/>
        </w:rPr>
      </w:pPr>
      <w:r>
        <w:rPr>
          <w:bCs/>
        </w:rPr>
        <w:t xml:space="preserve">4.1.5. В столбцах </w:t>
      </w:r>
      <w:proofErr w:type="gramStart"/>
      <w:r>
        <w:rPr>
          <w:bCs/>
        </w:rPr>
        <w:t>в</w:t>
      </w:r>
      <w:proofErr w:type="gramEnd"/>
      <w:r>
        <w:rPr>
          <w:bCs/>
        </w:rPr>
        <w:t xml:space="preserve"> % </w:t>
      </w:r>
      <w:proofErr w:type="gramStart"/>
      <w:r>
        <w:rPr>
          <w:bCs/>
        </w:rPr>
        <w:t>к</w:t>
      </w:r>
      <w:proofErr w:type="gramEnd"/>
      <w:r>
        <w:rPr>
          <w:bCs/>
        </w:rPr>
        <w:t xml:space="preserve"> валюте баланс Таблицы 2 указываются относительные значения (в процентном выражении), характеризующие удельный вес каждого показателя в валюте баланса, за 100% принимается значение строки «Баланс».</w:t>
      </w:r>
    </w:p>
    <w:p w:rsidR="000D732C" w:rsidRDefault="000D732C" w:rsidP="000D732C">
      <w:pPr>
        <w:tabs>
          <w:tab w:val="num" w:pos="3960"/>
        </w:tabs>
        <w:spacing w:before="120"/>
        <w:ind w:firstLine="720"/>
        <w:jc w:val="both"/>
        <w:rPr>
          <w:bCs/>
        </w:rPr>
      </w:pPr>
      <w:r>
        <w:rPr>
          <w:bCs/>
        </w:rPr>
        <w:t>В столбцах Изменение за анализируемый период Таблицы 2 указывается абсолютное и относительное изменение каждого показателя за анализируемый период.</w:t>
      </w:r>
    </w:p>
    <w:p w:rsidR="000D732C" w:rsidRDefault="000D732C" w:rsidP="000D732C">
      <w:pPr>
        <w:tabs>
          <w:tab w:val="num" w:pos="3960"/>
        </w:tabs>
        <w:spacing w:before="120"/>
        <w:ind w:firstLine="720"/>
        <w:jc w:val="both"/>
        <w:rPr>
          <w:bCs/>
        </w:rPr>
      </w:pPr>
      <w:r>
        <w:rPr>
          <w:bCs/>
        </w:rPr>
        <w:t>4.1.6. Необходимо проанализировать абсолютное значение, удельный вес и изменение каждого показателя Таблицы 2.</w:t>
      </w:r>
    </w:p>
    <w:p w:rsidR="000D732C" w:rsidRDefault="000D732C" w:rsidP="000D732C">
      <w:pPr>
        <w:spacing w:before="120"/>
        <w:ind w:left="1080"/>
        <w:jc w:val="both"/>
        <w:rPr>
          <w:bCs/>
        </w:rPr>
      </w:pPr>
    </w:p>
    <w:p w:rsidR="000D732C" w:rsidRDefault="000D732C" w:rsidP="000D732C">
      <w:pPr>
        <w:jc w:val="center"/>
        <w:rPr>
          <w:b/>
        </w:rPr>
      </w:pPr>
      <w:bookmarkStart w:id="40" w:name="_Toc409432300"/>
      <w:bookmarkStart w:id="41" w:name="_Toc409432255"/>
      <w:bookmarkStart w:id="42" w:name="_Toc409432092"/>
      <w:bookmarkStart w:id="43" w:name="_Toc409432013"/>
      <w:bookmarkStart w:id="44" w:name="_Toc361733826"/>
      <w:bookmarkStart w:id="45" w:name="_Toc66255279"/>
      <w:r>
        <w:rPr>
          <w:b/>
        </w:rPr>
        <w:t>4.2. Анализ структуры пассивов баланса</w:t>
      </w:r>
      <w:bookmarkEnd w:id="40"/>
      <w:bookmarkEnd w:id="41"/>
      <w:bookmarkEnd w:id="42"/>
      <w:bookmarkEnd w:id="43"/>
      <w:bookmarkEnd w:id="44"/>
      <w:bookmarkEnd w:id="45"/>
    </w:p>
    <w:p w:rsidR="000D732C" w:rsidRDefault="000D732C" w:rsidP="000D732C">
      <w:pPr>
        <w:tabs>
          <w:tab w:val="num" w:pos="3960"/>
        </w:tabs>
        <w:spacing w:before="120"/>
        <w:ind w:firstLine="720"/>
        <w:jc w:val="both"/>
        <w:rPr>
          <w:bCs/>
        </w:rPr>
      </w:pPr>
      <w:r>
        <w:rPr>
          <w:bCs/>
        </w:rPr>
        <w:t>4.2.1. Анализ структуры пассивов Заемщика осуществляется на основе данных бухгалтерского баланса (формы №0710001). Для проведения анализа следует использовать расчетный файл – вкладка баланс – «Пассив» (см. Таблицу 3). Показатели Таблицы определяются путем агрегирования строк пассива бухгалтерского баланса.</w:t>
      </w:r>
    </w:p>
    <w:p w:rsidR="000D732C" w:rsidRDefault="000D732C" w:rsidP="000D732C">
      <w:pPr>
        <w:widowControl w:val="0"/>
        <w:autoSpaceDE w:val="0"/>
        <w:autoSpaceDN w:val="0"/>
        <w:adjustRightInd w:val="0"/>
        <w:jc w:val="right"/>
        <w:rPr>
          <w:b/>
          <w:bCs/>
          <w:sz w:val="22"/>
        </w:rPr>
      </w:pPr>
      <w:r>
        <w:rPr>
          <w:b/>
          <w:i/>
          <w:iCs/>
        </w:rPr>
        <w:t>Таблица 3</w:t>
      </w:r>
    </w:p>
    <w:p w:rsidR="000D732C" w:rsidRDefault="000D732C" w:rsidP="000D732C">
      <w:pPr>
        <w:widowControl w:val="0"/>
        <w:autoSpaceDE w:val="0"/>
        <w:autoSpaceDN w:val="0"/>
        <w:adjustRightInd w:val="0"/>
        <w:jc w:val="center"/>
        <w:rPr>
          <w:sz w:val="1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2239"/>
        <w:gridCol w:w="1845"/>
        <w:gridCol w:w="1818"/>
        <w:gridCol w:w="1752"/>
        <w:gridCol w:w="11"/>
      </w:tblGrid>
      <w:tr w:rsidR="000D732C" w:rsidTr="000D732C">
        <w:trPr>
          <w:trHeight w:val="300"/>
        </w:trPr>
        <w:tc>
          <w:tcPr>
            <w:tcW w:w="2315" w:type="dxa"/>
            <w:tcBorders>
              <w:top w:val="single" w:sz="4" w:space="0" w:color="auto"/>
              <w:left w:val="single" w:sz="4" w:space="0" w:color="auto"/>
              <w:bottom w:val="single" w:sz="4" w:space="0" w:color="auto"/>
              <w:right w:val="single" w:sz="4" w:space="0" w:color="auto"/>
            </w:tcBorders>
            <w:noWrap/>
            <w:vAlign w:val="center"/>
          </w:tcPr>
          <w:p w:rsidR="000D732C" w:rsidRDefault="000D732C">
            <w:pPr>
              <w:ind w:left="421" w:hanging="421"/>
              <w:jc w:val="center"/>
              <w:rPr>
                <w:color w:val="000000"/>
              </w:rPr>
            </w:pPr>
          </w:p>
        </w:tc>
        <w:tc>
          <w:tcPr>
            <w:tcW w:w="408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D732C" w:rsidRDefault="000D732C">
            <w:pPr>
              <w:ind w:left="421" w:hanging="421"/>
              <w:jc w:val="center"/>
              <w:rPr>
                <w:color w:val="000000"/>
              </w:rPr>
            </w:pPr>
            <w:proofErr w:type="gramStart"/>
            <w:r>
              <w:rPr>
                <w:color w:val="000000"/>
              </w:rPr>
              <w:t>в</w:t>
            </w:r>
            <w:proofErr w:type="gramEnd"/>
            <w:r>
              <w:rPr>
                <w:color w:val="000000"/>
              </w:rPr>
              <w:t xml:space="preserve"> % </w:t>
            </w:r>
            <w:proofErr w:type="gramStart"/>
            <w:r>
              <w:rPr>
                <w:color w:val="000000"/>
              </w:rPr>
              <w:t>к</w:t>
            </w:r>
            <w:proofErr w:type="gramEnd"/>
            <w:r>
              <w:rPr>
                <w:color w:val="000000"/>
              </w:rPr>
              <w:t xml:space="preserve"> валюте баланс</w:t>
            </w:r>
          </w:p>
        </w:tc>
        <w:tc>
          <w:tcPr>
            <w:tcW w:w="3581" w:type="dxa"/>
            <w:gridSpan w:val="3"/>
            <w:tcBorders>
              <w:top w:val="single" w:sz="4" w:space="0" w:color="auto"/>
              <w:left w:val="single" w:sz="4" w:space="0" w:color="auto"/>
              <w:bottom w:val="single" w:sz="4" w:space="0" w:color="auto"/>
              <w:right w:val="single" w:sz="4" w:space="0" w:color="auto"/>
            </w:tcBorders>
            <w:noWrap/>
            <w:vAlign w:val="bottom"/>
            <w:hideMark/>
          </w:tcPr>
          <w:p w:rsidR="000D732C" w:rsidRDefault="000D732C">
            <w:pPr>
              <w:ind w:left="421" w:hanging="421"/>
              <w:jc w:val="center"/>
              <w:rPr>
                <w:color w:val="000000"/>
              </w:rPr>
            </w:pPr>
            <w:r>
              <w:rPr>
                <w:color w:val="000000"/>
              </w:rPr>
              <w:t>Изменение за анализируемый период</w:t>
            </w:r>
          </w:p>
        </w:tc>
      </w:tr>
      <w:tr w:rsidR="000D732C" w:rsidTr="000D732C">
        <w:trPr>
          <w:gridAfter w:val="1"/>
          <w:wAfter w:w="11" w:type="dxa"/>
          <w:trHeight w:val="300"/>
        </w:trPr>
        <w:tc>
          <w:tcPr>
            <w:tcW w:w="2315" w:type="dxa"/>
            <w:tcBorders>
              <w:top w:val="single" w:sz="4" w:space="0" w:color="auto"/>
              <w:left w:val="single" w:sz="4" w:space="0" w:color="auto"/>
              <w:bottom w:val="single" w:sz="4" w:space="0" w:color="auto"/>
              <w:right w:val="single" w:sz="4" w:space="0" w:color="auto"/>
            </w:tcBorders>
            <w:noWrap/>
            <w:vAlign w:val="center"/>
            <w:hideMark/>
          </w:tcPr>
          <w:p w:rsidR="000D732C" w:rsidRDefault="000D732C">
            <w:pPr>
              <w:ind w:left="421" w:hanging="421"/>
              <w:jc w:val="center"/>
              <w:rPr>
                <w:color w:val="000000"/>
              </w:rPr>
            </w:pPr>
            <w:r>
              <w:rPr>
                <w:color w:val="000000"/>
              </w:rPr>
              <w:t>Наименование показателя</w:t>
            </w:r>
          </w:p>
        </w:tc>
        <w:tc>
          <w:tcPr>
            <w:tcW w:w="22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D732C" w:rsidRDefault="000D732C">
            <w:pPr>
              <w:ind w:left="-19" w:firstLine="19"/>
              <w:jc w:val="center"/>
              <w:rPr>
                <w:color w:val="000000"/>
              </w:rPr>
            </w:pPr>
            <w:r>
              <w:rPr>
                <w:color w:val="000000"/>
              </w:rPr>
              <w:t>На начало анализируемого периода</w:t>
            </w: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D732C" w:rsidRDefault="000D732C">
            <w:pPr>
              <w:ind w:left="-21" w:firstLine="21"/>
              <w:jc w:val="center"/>
              <w:rPr>
                <w:color w:val="000000"/>
              </w:rPr>
            </w:pPr>
            <w:r>
              <w:rPr>
                <w:color w:val="000000"/>
              </w:rPr>
              <w:t>На конец анализируемого периода</w:t>
            </w:r>
          </w:p>
        </w:tc>
        <w:tc>
          <w:tcPr>
            <w:tcW w:w="1818" w:type="dxa"/>
            <w:tcBorders>
              <w:top w:val="single" w:sz="4" w:space="0" w:color="auto"/>
              <w:left w:val="single" w:sz="4" w:space="0" w:color="auto"/>
              <w:bottom w:val="single" w:sz="4" w:space="0" w:color="auto"/>
              <w:right w:val="single" w:sz="4" w:space="0" w:color="auto"/>
            </w:tcBorders>
            <w:noWrap/>
            <w:vAlign w:val="center"/>
            <w:hideMark/>
          </w:tcPr>
          <w:p w:rsidR="000D732C" w:rsidRDefault="000D732C">
            <w:pPr>
              <w:ind w:left="421" w:hanging="421"/>
              <w:jc w:val="center"/>
              <w:rPr>
                <w:color w:val="000000"/>
              </w:rPr>
            </w:pPr>
            <w:r>
              <w:rPr>
                <w:color w:val="000000"/>
              </w:rPr>
              <w:t>тыс. руб.</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0D732C" w:rsidRDefault="000D732C">
            <w:pPr>
              <w:jc w:val="center"/>
              <w:rPr>
                <w:color w:val="000000"/>
              </w:rPr>
            </w:pPr>
            <w:r>
              <w:rPr>
                <w:color w:val="000000"/>
              </w:rPr>
              <w:t>%</w:t>
            </w:r>
          </w:p>
        </w:tc>
      </w:tr>
      <w:tr w:rsidR="000D732C" w:rsidTr="000D732C">
        <w:trPr>
          <w:gridAfter w:val="1"/>
          <w:wAfter w:w="11" w:type="dxa"/>
          <w:trHeight w:val="300"/>
        </w:trPr>
        <w:tc>
          <w:tcPr>
            <w:tcW w:w="2315" w:type="dxa"/>
            <w:tcBorders>
              <w:top w:val="single" w:sz="4" w:space="0" w:color="auto"/>
              <w:left w:val="single" w:sz="4" w:space="0" w:color="auto"/>
              <w:bottom w:val="single" w:sz="4" w:space="0" w:color="auto"/>
              <w:right w:val="single" w:sz="4" w:space="0" w:color="auto"/>
            </w:tcBorders>
            <w:noWrap/>
            <w:vAlign w:val="bottom"/>
            <w:hideMark/>
          </w:tcPr>
          <w:p w:rsidR="000D732C" w:rsidRDefault="000D732C">
            <w:pPr>
              <w:ind w:left="421" w:hanging="421"/>
              <w:rPr>
                <w:b/>
                <w:color w:val="000000"/>
              </w:rPr>
            </w:pPr>
            <w:r>
              <w:rPr>
                <w:b/>
                <w:color w:val="000000"/>
              </w:rPr>
              <w:t>ПАССИВ</w:t>
            </w:r>
          </w:p>
        </w:tc>
        <w:tc>
          <w:tcPr>
            <w:tcW w:w="22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18" w:type="dxa"/>
            <w:tcBorders>
              <w:top w:val="single" w:sz="4" w:space="0" w:color="auto"/>
              <w:left w:val="single" w:sz="4" w:space="0" w:color="auto"/>
              <w:bottom w:val="single" w:sz="4" w:space="0" w:color="auto"/>
              <w:right w:val="single" w:sz="4" w:space="0" w:color="auto"/>
            </w:tcBorders>
            <w:noWrap/>
            <w:vAlign w:val="center"/>
          </w:tcPr>
          <w:p w:rsidR="000D732C" w:rsidRDefault="000D732C">
            <w:pPr>
              <w:jc w:val="right"/>
              <w:rPr>
                <w:b/>
                <w:bCs/>
                <w:color w:val="000000"/>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0D732C" w:rsidRDefault="000D732C">
            <w:pPr>
              <w:jc w:val="right"/>
              <w:rPr>
                <w:b/>
                <w:bCs/>
                <w:color w:val="000000"/>
              </w:rPr>
            </w:pPr>
          </w:p>
        </w:tc>
      </w:tr>
      <w:tr w:rsidR="000D732C" w:rsidTr="000D732C">
        <w:trPr>
          <w:gridAfter w:val="1"/>
          <w:wAfter w:w="11" w:type="dxa"/>
          <w:trHeight w:val="300"/>
        </w:trPr>
        <w:tc>
          <w:tcPr>
            <w:tcW w:w="2315" w:type="dxa"/>
            <w:tcBorders>
              <w:top w:val="single" w:sz="4" w:space="0" w:color="auto"/>
              <w:left w:val="single" w:sz="4" w:space="0" w:color="auto"/>
              <w:bottom w:val="single" w:sz="4" w:space="0" w:color="auto"/>
              <w:right w:val="single" w:sz="4" w:space="0" w:color="auto"/>
            </w:tcBorders>
            <w:shd w:val="clear" w:color="auto" w:fill="D9E1F2"/>
            <w:vAlign w:val="bottom"/>
            <w:hideMark/>
          </w:tcPr>
          <w:p w:rsidR="000D732C" w:rsidRDefault="000D732C">
            <w:pPr>
              <w:rPr>
                <w:color w:val="000000"/>
              </w:rPr>
            </w:pPr>
            <w:r>
              <w:rPr>
                <w:color w:val="000000"/>
              </w:rPr>
              <w:t>III. КАПИТАЛ И РЕЗЕРВЫ</w:t>
            </w:r>
          </w:p>
        </w:tc>
        <w:tc>
          <w:tcPr>
            <w:tcW w:w="223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D732C" w:rsidRDefault="000D732C">
            <w:pPr>
              <w:rPr>
                <w:color w:val="000000"/>
              </w:rPr>
            </w:pPr>
            <w:r>
              <w:rPr>
                <w:color w:val="000000"/>
              </w:rPr>
              <w:t> </w:t>
            </w:r>
          </w:p>
        </w:tc>
        <w:tc>
          <w:tcPr>
            <w:tcW w:w="1845"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D732C" w:rsidRDefault="000D732C">
            <w:pPr>
              <w:rPr>
                <w:color w:val="000000"/>
              </w:rPr>
            </w:pPr>
            <w:r>
              <w:rPr>
                <w:color w:val="000000"/>
              </w:rPr>
              <w:t> </w:t>
            </w:r>
          </w:p>
        </w:tc>
        <w:tc>
          <w:tcPr>
            <w:tcW w:w="1818" w:type="dxa"/>
            <w:tcBorders>
              <w:top w:val="single" w:sz="4" w:space="0" w:color="auto"/>
              <w:left w:val="single" w:sz="4" w:space="0" w:color="auto"/>
              <w:bottom w:val="single" w:sz="4" w:space="0" w:color="auto"/>
              <w:right w:val="single" w:sz="4" w:space="0" w:color="auto"/>
            </w:tcBorders>
            <w:shd w:val="clear" w:color="auto" w:fill="D9E1F2"/>
            <w:noWrap/>
            <w:vAlign w:val="center"/>
          </w:tcPr>
          <w:p w:rsidR="000D732C" w:rsidRDefault="000D732C">
            <w:pPr>
              <w:jc w:val="right"/>
              <w:rPr>
                <w:color w:val="000000"/>
              </w:rPr>
            </w:pPr>
          </w:p>
        </w:tc>
        <w:tc>
          <w:tcPr>
            <w:tcW w:w="1752" w:type="dxa"/>
            <w:tcBorders>
              <w:top w:val="single" w:sz="4" w:space="0" w:color="auto"/>
              <w:left w:val="single" w:sz="4" w:space="0" w:color="auto"/>
              <w:bottom w:val="single" w:sz="4" w:space="0" w:color="auto"/>
              <w:right w:val="single" w:sz="4" w:space="0" w:color="auto"/>
            </w:tcBorders>
            <w:shd w:val="clear" w:color="auto" w:fill="D9E1F2"/>
            <w:noWrap/>
            <w:vAlign w:val="center"/>
          </w:tcPr>
          <w:p w:rsidR="000D732C" w:rsidRDefault="000D732C">
            <w:pPr>
              <w:jc w:val="right"/>
              <w:rPr>
                <w:color w:val="000000"/>
              </w:rPr>
            </w:pPr>
          </w:p>
        </w:tc>
      </w:tr>
      <w:tr w:rsidR="000D732C" w:rsidTr="000D732C">
        <w:trPr>
          <w:gridAfter w:val="1"/>
          <w:wAfter w:w="11" w:type="dxa"/>
          <w:trHeight w:val="600"/>
        </w:trPr>
        <w:tc>
          <w:tcPr>
            <w:tcW w:w="2315" w:type="dxa"/>
            <w:tcBorders>
              <w:top w:val="single" w:sz="4" w:space="0" w:color="auto"/>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Уставный капитал (складочный капитал, уставный фонд, вклады товарищей)</w:t>
            </w:r>
          </w:p>
        </w:tc>
        <w:tc>
          <w:tcPr>
            <w:tcW w:w="22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18" w:type="dxa"/>
            <w:tcBorders>
              <w:top w:val="single" w:sz="4" w:space="0" w:color="auto"/>
              <w:left w:val="single" w:sz="4" w:space="0" w:color="auto"/>
              <w:bottom w:val="single" w:sz="4" w:space="0" w:color="auto"/>
              <w:right w:val="single" w:sz="4" w:space="0" w:color="auto"/>
            </w:tcBorders>
            <w:noWrap/>
            <w:vAlign w:val="center"/>
          </w:tcPr>
          <w:p w:rsidR="000D732C" w:rsidRDefault="000D732C">
            <w:pPr>
              <w:rPr>
                <w:color w:val="000000"/>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0D732C" w:rsidRDefault="000D732C">
            <w:pPr>
              <w:jc w:val="right"/>
              <w:rPr>
                <w:color w:val="000000"/>
              </w:rPr>
            </w:pPr>
          </w:p>
        </w:tc>
      </w:tr>
      <w:tr w:rsidR="000D732C" w:rsidTr="000D732C">
        <w:trPr>
          <w:gridAfter w:val="1"/>
          <w:wAfter w:w="11" w:type="dxa"/>
          <w:trHeight w:val="300"/>
        </w:trPr>
        <w:tc>
          <w:tcPr>
            <w:tcW w:w="2315" w:type="dxa"/>
            <w:tcBorders>
              <w:top w:val="single" w:sz="4" w:space="0" w:color="auto"/>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Собственные акции, выкупленные у акционеров</w:t>
            </w:r>
          </w:p>
        </w:tc>
        <w:tc>
          <w:tcPr>
            <w:tcW w:w="22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18" w:type="dxa"/>
            <w:tcBorders>
              <w:top w:val="single" w:sz="4" w:space="0" w:color="auto"/>
              <w:left w:val="single" w:sz="4" w:space="0" w:color="auto"/>
              <w:bottom w:val="single" w:sz="4" w:space="0" w:color="auto"/>
              <w:right w:val="single" w:sz="4" w:space="0" w:color="auto"/>
            </w:tcBorders>
            <w:noWrap/>
            <w:vAlign w:val="center"/>
          </w:tcPr>
          <w:p w:rsidR="000D732C" w:rsidRDefault="000D732C">
            <w:pPr>
              <w:rPr>
                <w:color w:val="000000"/>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0D732C" w:rsidRDefault="000D732C">
            <w:pPr>
              <w:jc w:val="right"/>
              <w:rPr>
                <w:color w:val="000000"/>
              </w:rPr>
            </w:pPr>
          </w:p>
        </w:tc>
      </w:tr>
      <w:tr w:rsidR="000D732C" w:rsidTr="000D732C">
        <w:trPr>
          <w:gridAfter w:val="1"/>
          <w:wAfter w:w="11" w:type="dxa"/>
          <w:trHeight w:val="300"/>
        </w:trPr>
        <w:tc>
          <w:tcPr>
            <w:tcW w:w="2315" w:type="dxa"/>
            <w:tcBorders>
              <w:top w:val="single" w:sz="4" w:space="0" w:color="auto"/>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 xml:space="preserve">Переоценка </w:t>
            </w:r>
            <w:proofErr w:type="spellStart"/>
            <w:r>
              <w:rPr>
                <w:color w:val="000000"/>
              </w:rPr>
              <w:t>внеоборотных</w:t>
            </w:r>
            <w:proofErr w:type="spellEnd"/>
            <w:r>
              <w:rPr>
                <w:color w:val="000000"/>
              </w:rPr>
              <w:t xml:space="preserve"> активов</w:t>
            </w:r>
          </w:p>
        </w:tc>
        <w:tc>
          <w:tcPr>
            <w:tcW w:w="22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18" w:type="dxa"/>
            <w:tcBorders>
              <w:top w:val="single" w:sz="4" w:space="0" w:color="auto"/>
              <w:left w:val="single" w:sz="4" w:space="0" w:color="auto"/>
              <w:bottom w:val="single" w:sz="4" w:space="0" w:color="auto"/>
              <w:right w:val="single" w:sz="4" w:space="0" w:color="auto"/>
            </w:tcBorders>
            <w:noWrap/>
            <w:vAlign w:val="center"/>
          </w:tcPr>
          <w:p w:rsidR="000D732C" w:rsidRDefault="000D732C">
            <w:pPr>
              <w:rPr>
                <w:color w:val="000000"/>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0D732C" w:rsidRDefault="000D732C">
            <w:pPr>
              <w:jc w:val="right"/>
              <w:rPr>
                <w:color w:val="000000"/>
              </w:rPr>
            </w:pPr>
          </w:p>
        </w:tc>
      </w:tr>
      <w:tr w:rsidR="000D732C" w:rsidTr="000D732C">
        <w:trPr>
          <w:gridAfter w:val="1"/>
          <w:wAfter w:w="11" w:type="dxa"/>
          <w:trHeight w:val="300"/>
        </w:trPr>
        <w:tc>
          <w:tcPr>
            <w:tcW w:w="2315" w:type="dxa"/>
            <w:tcBorders>
              <w:top w:val="single" w:sz="4" w:space="0" w:color="auto"/>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Добавочный капитал (без переоценки)</w:t>
            </w:r>
          </w:p>
        </w:tc>
        <w:tc>
          <w:tcPr>
            <w:tcW w:w="22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18" w:type="dxa"/>
            <w:tcBorders>
              <w:top w:val="single" w:sz="4" w:space="0" w:color="auto"/>
              <w:left w:val="single" w:sz="4" w:space="0" w:color="auto"/>
              <w:bottom w:val="single" w:sz="4" w:space="0" w:color="auto"/>
              <w:right w:val="single" w:sz="4" w:space="0" w:color="auto"/>
            </w:tcBorders>
            <w:noWrap/>
            <w:vAlign w:val="center"/>
          </w:tcPr>
          <w:p w:rsidR="000D732C" w:rsidRDefault="000D732C">
            <w:pPr>
              <w:rPr>
                <w:color w:val="000000"/>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0D732C" w:rsidRDefault="000D732C">
            <w:pPr>
              <w:jc w:val="right"/>
              <w:rPr>
                <w:color w:val="000000"/>
              </w:rPr>
            </w:pPr>
          </w:p>
        </w:tc>
      </w:tr>
      <w:tr w:rsidR="000D732C" w:rsidTr="000D732C">
        <w:trPr>
          <w:gridAfter w:val="1"/>
          <w:wAfter w:w="11" w:type="dxa"/>
          <w:trHeight w:val="300"/>
        </w:trPr>
        <w:tc>
          <w:tcPr>
            <w:tcW w:w="2315" w:type="dxa"/>
            <w:tcBorders>
              <w:top w:val="single" w:sz="4" w:space="0" w:color="auto"/>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Резервный капитал</w:t>
            </w:r>
          </w:p>
        </w:tc>
        <w:tc>
          <w:tcPr>
            <w:tcW w:w="22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18" w:type="dxa"/>
            <w:tcBorders>
              <w:top w:val="single" w:sz="4" w:space="0" w:color="auto"/>
              <w:left w:val="single" w:sz="4" w:space="0" w:color="auto"/>
              <w:bottom w:val="single" w:sz="4" w:space="0" w:color="auto"/>
              <w:right w:val="single" w:sz="4" w:space="0" w:color="auto"/>
            </w:tcBorders>
            <w:noWrap/>
            <w:vAlign w:val="center"/>
          </w:tcPr>
          <w:p w:rsidR="000D732C" w:rsidRDefault="000D732C">
            <w:pPr>
              <w:rPr>
                <w:color w:val="000000"/>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0D732C" w:rsidRDefault="000D732C">
            <w:pPr>
              <w:jc w:val="right"/>
              <w:rPr>
                <w:color w:val="000000"/>
              </w:rPr>
            </w:pPr>
          </w:p>
        </w:tc>
      </w:tr>
      <w:tr w:rsidR="000D732C" w:rsidTr="000D732C">
        <w:trPr>
          <w:gridAfter w:val="1"/>
          <w:wAfter w:w="11" w:type="dxa"/>
          <w:trHeight w:val="600"/>
        </w:trPr>
        <w:tc>
          <w:tcPr>
            <w:tcW w:w="2315" w:type="dxa"/>
            <w:tcBorders>
              <w:top w:val="single" w:sz="4" w:space="0" w:color="auto"/>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Нераспределенная прибыль (непокрытый убыток)</w:t>
            </w:r>
          </w:p>
        </w:tc>
        <w:tc>
          <w:tcPr>
            <w:tcW w:w="22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18" w:type="dxa"/>
            <w:tcBorders>
              <w:top w:val="single" w:sz="4" w:space="0" w:color="auto"/>
              <w:left w:val="single" w:sz="4" w:space="0" w:color="auto"/>
              <w:bottom w:val="single" w:sz="4" w:space="0" w:color="auto"/>
              <w:right w:val="single" w:sz="4" w:space="0" w:color="auto"/>
            </w:tcBorders>
            <w:noWrap/>
            <w:vAlign w:val="center"/>
          </w:tcPr>
          <w:p w:rsidR="000D732C" w:rsidRDefault="000D732C">
            <w:pPr>
              <w:rPr>
                <w:color w:val="000000"/>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0D732C" w:rsidRDefault="000D732C">
            <w:pPr>
              <w:jc w:val="right"/>
              <w:rPr>
                <w:color w:val="000000"/>
              </w:rPr>
            </w:pPr>
          </w:p>
        </w:tc>
      </w:tr>
      <w:tr w:rsidR="000D732C" w:rsidTr="000D732C">
        <w:trPr>
          <w:gridAfter w:val="1"/>
          <w:wAfter w:w="11" w:type="dxa"/>
          <w:trHeight w:val="300"/>
        </w:trPr>
        <w:tc>
          <w:tcPr>
            <w:tcW w:w="2315" w:type="dxa"/>
            <w:tcBorders>
              <w:top w:val="single" w:sz="4" w:space="0" w:color="auto"/>
              <w:left w:val="single" w:sz="4" w:space="0" w:color="auto"/>
              <w:bottom w:val="single" w:sz="4" w:space="0" w:color="auto"/>
              <w:right w:val="single" w:sz="4" w:space="0" w:color="auto"/>
            </w:tcBorders>
            <w:vAlign w:val="bottom"/>
            <w:hideMark/>
          </w:tcPr>
          <w:p w:rsidR="000D732C" w:rsidRDefault="000D732C">
            <w:pPr>
              <w:rPr>
                <w:b/>
                <w:bCs/>
                <w:color w:val="000000"/>
              </w:rPr>
            </w:pPr>
            <w:r>
              <w:rPr>
                <w:b/>
                <w:bCs/>
                <w:color w:val="000000"/>
              </w:rPr>
              <w:t>Итого по разделу III</w:t>
            </w:r>
          </w:p>
        </w:tc>
        <w:tc>
          <w:tcPr>
            <w:tcW w:w="22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18" w:type="dxa"/>
            <w:tcBorders>
              <w:top w:val="single" w:sz="4" w:space="0" w:color="auto"/>
              <w:left w:val="single" w:sz="4" w:space="0" w:color="auto"/>
              <w:bottom w:val="single" w:sz="4" w:space="0" w:color="auto"/>
              <w:right w:val="single" w:sz="4" w:space="0" w:color="auto"/>
            </w:tcBorders>
            <w:noWrap/>
            <w:vAlign w:val="center"/>
          </w:tcPr>
          <w:p w:rsidR="000D732C" w:rsidRDefault="000D732C">
            <w:pPr>
              <w:rPr>
                <w:b/>
                <w:bCs/>
                <w:color w:val="000000"/>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0D732C" w:rsidRDefault="000D732C">
            <w:pPr>
              <w:jc w:val="right"/>
              <w:rPr>
                <w:b/>
                <w:bCs/>
                <w:color w:val="000000"/>
              </w:rPr>
            </w:pPr>
          </w:p>
        </w:tc>
      </w:tr>
      <w:tr w:rsidR="000D732C" w:rsidTr="000D732C">
        <w:trPr>
          <w:gridAfter w:val="1"/>
          <w:wAfter w:w="11" w:type="dxa"/>
          <w:trHeight w:val="300"/>
        </w:trPr>
        <w:tc>
          <w:tcPr>
            <w:tcW w:w="2315" w:type="dxa"/>
            <w:tcBorders>
              <w:top w:val="single" w:sz="4" w:space="0" w:color="auto"/>
              <w:left w:val="single" w:sz="4" w:space="0" w:color="auto"/>
              <w:bottom w:val="single" w:sz="4" w:space="0" w:color="auto"/>
              <w:right w:val="single" w:sz="4" w:space="0" w:color="auto"/>
            </w:tcBorders>
            <w:shd w:val="clear" w:color="auto" w:fill="D9E1F2"/>
            <w:vAlign w:val="bottom"/>
            <w:hideMark/>
          </w:tcPr>
          <w:p w:rsidR="000D732C" w:rsidRDefault="000D732C">
            <w:pPr>
              <w:rPr>
                <w:color w:val="000000"/>
              </w:rPr>
            </w:pPr>
            <w:r>
              <w:rPr>
                <w:color w:val="000000"/>
              </w:rPr>
              <w:lastRenderedPageBreak/>
              <w:t>IV. ДОЛГОСРОЧНЫЕ ОБЯЗАТЕЛЬСТВА</w:t>
            </w:r>
          </w:p>
        </w:tc>
        <w:tc>
          <w:tcPr>
            <w:tcW w:w="2239" w:type="dxa"/>
            <w:tcBorders>
              <w:top w:val="single" w:sz="4" w:space="0" w:color="auto"/>
              <w:left w:val="single" w:sz="4" w:space="0" w:color="auto"/>
              <w:bottom w:val="single" w:sz="4" w:space="0" w:color="auto"/>
              <w:right w:val="single" w:sz="4" w:space="0" w:color="auto"/>
            </w:tcBorders>
            <w:shd w:val="clear" w:color="auto" w:fill="D9E1F2"/>
            <w:noWrap/>
            <w:vAlign w:val="center"/>
          </w:tcPr>
          <w:p w:rsidR="000D732C" w:rsidRDefault="000D732C">
            <w:pPr>
              <w:rPr>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D9E1F2"/>
            <w:noWrap/>
            <w:vAlign w:val="center"/>
          </w:tcPr>
          <w:p w:rsidR="000D732C" w:rsidRDefault="000D732C">
            <w:pPr>
              <w:rPr>
                <w:color w:val="000000"/>
              </w:rPr>
            </w:pPr>
          </w:p>
        </w:tc>
        <w:tc>
          <w:tcPr>
            <w:tcW w:w="1818" w:type="dxa"/>
            <w:tcBorders>
              <w:top w:val="single" w:sz="4" w:space="0" w:color="auto"/>
              <w:left w:val="single" w:sz="4" w:space="0" w:color="auto"/>
              <w:bottom w:val="single" w:sz="4" w:space="0" w:color="auto"/>
              <w:right w:val="single" w:sz="4" w:space="0" w:color="auto"/>
            </w:tcBorders>
            <w:shd w:val="clear" w:color="auto" w:fill="D9E1F2"/>
            <w:noWrap/>
            <w:vAlign w:val="center"/>
          </w:tcPr>
          <w:p w:rsidR="000D732C" w:rsidRDefault="000D732C">
            <w:pPr>
              <w:jc w:val="right"/>
              <w:rPr>
                <w:color w:val="000000"/>
              </w:rPr>
            </w:pPr>
          </w:p>
        </w:tc>
        <w:tc>
          <w:tcPr>
            <w:tcW w:w="1752" w:type="dxa"/>
            <w:tcBorders>
              <w:top w:val="single" w:sz="4" w:space="0" w:color="auto"/>
              <w:left w:val="single" w:sz="4" w:space="0" w:color="auto"/>
              <w:bottom w:val="single" w:sz="4" w:space="0" w:color="auto"/>
              <w:right w:val="single" w:sz="4" w:space="0" w:color="auto"/>
            </w:tcBorders>
            <w:shd w:val="clear" w:color="auto" w:fill="D9E1F2"/>
            <w:noWrap/>
            <w:vAlign w:val="center"/>
          </w:tcPr>
          <w:p w:rsidR="000D732C" w:rsidRDefault="000D732C">
            <w:pPr>
              <w:jc w:val="right"/>
              <w:rPr>
                <w:color w:val="000000"/>
              </w:rPr>
            </w:pPr>
          </w:p>
        </w:tc>
      </w:tr>
      <w:tr w:rsidR="000D732C" w:rsidTr="000D732C">
        <w:trPr>
          <w:gridAfter w:val="1"/>
          <w:wAfter w:w="11" w:type="dxa"/>
          <w:trHeight w:val="300"/>
        </w:trPr>
        <w:tc>
          <w:tcPr>
            <w:tcW w:w="2315" w:type="dxa"/>
            <w:tcBorders>
              <w:top w:val="single" w:sz="4" w:space="0" w:color="auto"/>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Заемные средства</w:t>
            </w:r>
          </w:p>
        </w:tc>
        <w:tc>
          <w:tcPr>
            <w:tcW w:w="22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18" w:type="dxa"/>
            <w:tcBorders>
              <w:top w:val="single" w:sz="4" w:space="0" w:color="auto"/>
              <w:left w:val="single" w:sz="4" w:space="0" w:color="auto"/>
              <w:bottom w:val="single" w:sz="4" w:space="0" w:color="auto"/>
              <w:right w:val="single" w:sz="4" w:space="0" w:color="auto"/>
            </w:tcBorders>
            <w:noWrap/>
            <w:vAlign w:val="center"/>
          </w:tcPr>
          <w:p w:rsidR="000D732C" w:rsidRDefault="000D732C">
            <w:pPr>
              <w:rPr>
                <w:color w:val="000000"/>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0D732C" w:rsidRDefault="000D732C">
            <w:pPr>
              <w:jc w:val="right"/>
              <w:rPr>
                <w:color w:val="000000"/>
              </w:rPr>
            </w:pPr>
          </w:p>
        </w:tc>
      </w:tr>
      <w:tr w:rsidR="000D732C" w:rsidTr="000D732C">
        <w:trPr>
          <w:gridAfter w:val="1"/>
          <w:wAfter w:w="11" w:type="dxa"/>
          <w:trHeight w:val="300"/>
        </w:trPr>
        <w:tc>
          <w:tcPr>
            <w:tcW w:w="2315" w:type="dxa"/>
            <w:tcBorders>
              <w:top w:val="single" w:sz="4" w:space="0" w:color="auto"/>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Отложенные налоговые обязательства</w:t>
            </w:r>
          </w:p>
        </w:tc>
        <w:tc>
          <w:tcPr>
            <w:tcW w:w="22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18" w:type="dxa"/>
            <w:tcBorders>
              <w:top w:val="single" w:sz="4" w:space="0" w:color="auto"/>
              <w:left w:val="single" w:sz="4" w:space="0" w:color="auto"/>
              <w:bottom w:val="single" w:sz="4" w:space="0" w:color="auto"/>
              <w:right w:val="single" w:sz="4" w:space="0" w:color="auto"/>
            </w:tcBorders>
            <w:noWrap/>
            <w:vAlign w:val="center"/>
          </w:tcPr>
          <w:p w:rsidR="000D732C" w:rsidRDefault="000D732C">
            <w:pPr>
              <w:rPr>
                <w:color w:val="000000"/>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0D732C" w:rsidRDefault="000D732C">
            <w:pPr>
              <w:jc w:val="right"/>
              <w:rPr>
                <w:color w:val="000000"/>
              </w:rPr>
            </w:pPr>
          </w:p>
        </w:tc>
      </w:tr>
      <w:tr w:rsidR="000D732C" w:rsidTr="000D732C">
        <w:trPr>
          <w:gridAfter w:val="1"/>
          <w:wAfter w:w="11" w:type="dxa"/>
          <w:trHeight w:val="300"/>
        </w:trPr>
        <w:tc>
          <w:tcPr>
            <w:tcW w:w="2315" w:type="dxa"/>
            <w:tcBorders>
              <w:top w:val="single" w:sz="4" w:space="0" w:color="auto"/>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Оценочные обязательства</w:t>
            </w:r>
          </w:p>
        </w:tc>
        <w:tc>
          <w:tcPr>
            <w:tcW w:w="22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18" w:type="dxa"/>
            <w:tcBorders>
              <w:top w:val="single" w:sz="4" w:space="0" w:color="auto"/>
              <w:left w:val="single" w:sz="4" w:space="0" w:color="auto"/>
              <w:bottom w:val="single" w:sz="4" w:space="0" w:color="auto"/>
              <w:right w:val="single" w:sz="4" w:space="0" w:color="auto"/>
            </w:tcBorders>
            <w:noWrap/>
            <w:vAlign w:val="center"/>
          </w:tcPr>
          <w:p w:rsidR="000D732C" w:rsidRDefault="000D732C">
            <w:pPr>
              <w:rPr>
                <w:color w:val="000000"/>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0D732C" w:rsidRDefault="000D732C">
            <w:pPr>
              <w:jc w:val="right"/>
              <w:rPr>
                <w:color w:val="000000"/>
              </w:rPr>
            </w:pPr>
          </w:p>
        </w:tc>
      </w:tr>
      <w:tr w:rsidR="000D732C" w:rsidTr="000D732C">
        <w:trPr>
          <w:gridAfter w:val="1"/>
          <w:wAfter w:w="11" w:type="dxa"/>
          <w:trHeight w:val="300"/>
        </w:trPr>
        <w:tc>
          <w:tcPr>
            <w:tcW w:w="2315" w:type="dxa"/>
            <w:tcBorders>
              <w:top w:val="single" w:sz="4" w:space="0" w:color="auto"/>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Прочие обязательства</w:t>
            </w:r>
          </w:p>
        </w:tc>
        <w:tc>
          <w:tcPr>
            <w:tcW w:w="22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18" w:type="dxa"/>
            <w:tcBorders>
              <w:top w:val="single" w:sz="4" w:space="0" w:color="auto"/>
              <w:left w:val="single" w:sz="4" w:space="0" w:color="auto"/>
              <w:bottom w:val="single" w:sz="4" w:space="0" w:color="auto"/>
              <w:right w:val="single" w:sz="4" w:space="0" w:color="auto"/>
            </w:tcBorders>
            <w:noWrap/>
            <w:vAlign w:val="center"/>
          </w:tcPr>
          <w:p w:rsidR="000D732C" w:rsidRDefault="000D732C">
            <w:pPr>
              <w:rPr>
                <w:color w:val="000000"/>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0D732C" w:rsidRDefault="000D732C">
            <w:pPr>
              <w:jc w:val="right"/>
              <w:rPr>
                <w:color w:val="000000"/>
              </w:rPr>
            </w:pPr>
          </w:p>
        </w:tc>
      </w:tr>
      <w:tr w:rsidR="000D732C" w:rsidTr="000D732C">
        <w:trPr>
          <w:gridAfter w:val="1"/>
          <w:wAfter w:w="11" w:type="dxa"/>
          <w:trHeight w:val="300"/>
        </w:trPr>
        <w:tc>
          <w:tcPr>
            <w:tcW w:w="2315" w:type="dxa"/>
            <w:tcBorders>
              <w:top w:val="single" w:sz="4" w:space="0" w:color="auto"/>
              <w:left w:val="single" w:sz="4" w:space="0" w:color="auto"/>
              <w:bottom w:val="single" w:sz="4" w:space="0" w:color="auto"/>
              <w:right w:val="single" w:sz="4" w:space="0" w:color="auto"/>
            </w:tcBorders>
            <w:vAlign w:val="bottom"/>
            <w:hideMark/>
          </w:tcPr>
          <w:p w:rsidR="000D732C" w:rsidRDefault="000D732C">
            <w:pPr>
              <w:rPr>
                <w:b/>
                <w:bCs/>
                <w:color w:val="000000"/>
              </w:rPr>
            </w:pPr>
            <w:r>
              <w:rPr>
                <w:b/>
                <w:bCs/>
                <w:color w:val="000000"/>
              </w:rPr>
              <w:t>Итого по разделу IV</w:t>
            </w:r>
          </w:p>
        </w:tc>
        <w:tc>
          <w:tcPr>
            <w:tcW w:w="22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18" w:type="dxa"/>
            <w:tcBorders>
              <w:top w:val="single" w:sz="4" w:space="0" w:color="auto"/>
              <w:left w:val="single" w:sz="4" w:space="0" w:color="auto"/>
              <w:bottom w:val="single" w:sz="4" w:space="0" w:color="auto"/>
              <w:right w:val="single" w:sz="4" w:space="0" w:color="auto"/>
            </w:tcBorders>
            <w:noWrap/>
            <w:vAlign w:val="center"/>
          </w:tcPr>
          <w:p w:rsidR="000D732C" w:rsidRDefault="000D732C">
            <w:pPr>
              <w:rPr>
                <w:b/>
                <w:bCs/>
                <w:color w:val="000000"/>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0D732C" w:rsidRDefault="000D732C">
            <w:pPr>
              <w:jc w:val="right"/>
              <w:rPr>
                <w:b/>
                <w:bCs/>
                <w:color w:val="000000"/>
              </w:rPr>
            </w:pPr>
          </w:p>
        </w:tc>
      </w:tr>
      <w:tr w:rsidR="000D732C" w:rsidTr="000D732C">
        <w:trPr>
          <w:gridAfter w:val="1"/>
          <w:wAfter w:w="11" w:type="dxa"/>
          <w:trHeight w:val="300"/>
        </w:trPr>
        <w:tc>
          <w:tcPr>
            <w:tcW w:w="2315" w:type="dxa"/>
            <w:tcBorders>
              <w:top w:val="single" w:sz="4" w:space="0" w:color="auto"/>
              <w:left w:val="single" w:sz="4" w:space="0" w:color="auto"/>
              <w:bottom w:val="single" w:sz="4" w:space="0" w:color="auto"/>
              <w:right w:val="single" w:sz="4" w:space="0" w:color="auto"/>
            </w:tcBorders>
            <w:shd w:val="clear" w:color="auto" w:fill="D9E1F2"/>
            <w:vAlign w:val="bottom"/>
            <w:hideMark/>
          </w:tcPr>
          <w:p w:rsidR="000D732C" w:rsidRDefault="000D732C">
            <w:pPr>
              <w:rPr>
                <w:color w:val="000000"/>
              </w:rPr>
            </w:pPr>
            <w:r>
              <w:rPr>
                <w:color w:val="000000"/>
              </w:rPr>
              <w:t>V. КРАТКОСРОЧНЫЕ ОБЯЗАТЕЛЬСТВА</w:t>
            </w:r>
          </w:p>
        </w:tc>
        <w:tc>
          <w:tcPr>
            <w:tcW w:w="2239" w:type="dxa"/>
            <w:tcBorders>
              <w:top w:val="single" w:sz="4" w:space="0" w:color="auto"/>
              <w:left w:val="single" w:sz="4" w:space="0" w:color="auto"/>
              <w:bottom w:val="single" w:sz="4" w:space="0" w:color="auto"/>
              <w:right w:val="single" w:sz="4" w:space="0" w:color="auto"/>
            </w:tcBorders>
            <w:shd w:val="clear" w:color="auto" w:fill="D9E1F2"/>
            <w:noWrap/>
            <w:vAlign w:val="center"/>
          </w:tcPr>
          <w:p w:rsidR="000D732C" w:rsidRDefault="000D732C">
            <w:pPr>
              <w:rPr>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D9E1F2"/>
            <w:noWrap/>
            <w:vAlign w:val="center"/>
          </w:tcPr>
          <w:p w:rsidR="000D732C" w:rsidRDefault="000D732C">
            <w:pPr>
              <w:rPr>
                <w:color w:val="000000"/>
              </w:rPr>
            </w:pPr>
          </w:p>
        </w:tc>
        <w:tc>
          <w:tcPr>
            <w:tcW w:w="1818" w:type="dxa"/>
            <w:tcBorders>
              <w:top w:val="single" w:sz="4" w:space="0" w:color="auto"/>
              <w:left w:val="single" w:sz="4" w:space="0" w:color="auto"/>
              <w:bottom w:val="single" w:sz="4" w:space="0" w:color="auto"/>
              <w:right w:val="single" w:sz="4" w:space="0" w:color="auto"/>
            </w:tcBorders>
            <w:shd w:val="clear" w:color="auto" w:fill="D9E1F2"/>
            <w:noWrap/>
            <w:vAlign w:val="center"/>
          </w:tcPr>
          <w:p w:rsidR="000D732C" w:rsidRDefault="000D732C">
            <w:pPr>
              <w:jc w:val="right"/>
              <w:rPr>
                <w:color w:val="000000"/>
              </w:rPr>
            </w:pPr>
          </w:p>
        </w:tc>
        <w:tc>
          <w:tcPr>
            <w:tcW w:w="1752" w:type="dxa"/>
            <w:tcBorders>
              <w:top w:val="single" w:sz="4" w:space="0" w:color="auto"/>
              <w:left w:val="single" w:sz="4" w:space="0" w:color="auto"/>
              <w:bottom w:val="single" w:sz="4" w:space="0" w:color="auto"/>
              <w:right w:val="single" w:sz="4" w:space="0" w:color="auto"/>
            </w:tcBorders>
            <w:shd w:val="clear" w:color="auto" w:fill="D9E1F2"/>
            <w:noWrap/>
            <w:vAlign w:val="center"/>
          </w:tcPr>
          <w:p w:rsidR="000D732C" w:rsidRDefault="000D732C">
            <w:pPr>
              <w:jc w:val="right"/>
              <w:rPr>
                <w:color w:val="000000"/>
              </w:rPr>
            </w:pPr>
          </w:p>
        </w:tc>
      </w:tr>
      <w:tr w:rsidR="000D732C" w:rsidTr="000D732C">
        <w:trPr>
          <w:gridAfter w:val="1"/>
          <w:wAfter w:w="11" w:type="dxa"/>
          <w:trHeight w:val="300"/>
        </w:trPr>
        <w:tc>
          <w:tcPr>
            <w:tcW w:w="2315" w:type="dxa"/>
            <w:tcBorders>
              <w:top w:val="single" w:sz="4" w:space="0" w:color="auto"/>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Заемные средства</w:t>
            </w:r>
          </w:p>
        </w:tc>
        <w:tc>
          <w:tcPr>
            <w:tcW w:w="22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18" w:type="dxa"/>
            <w:tcBorders>
              <w:top w:val="single" w:sz="4" w:space="0" w:color="auto"/>
              <w:left w:val="single" w:sz="4" w:space="0" w:color="auto"/>
              <w:bottom w:val="single" w:sz="4" w:space="0" w:color="auto"/>
              <w:right w:val="single" w:sz="4" w:space="0" w:color="auto"/>
            </w:tcBorders>
            <w:noWrap/>
            <w:vAlign w:val="center"/>
          </w:tcPr>
          <w:p w:rsidR="000D732C" w:rsidRDefault="000D732C">
            <w:pPr>
              <w:rPr>
                <w:color w:val="000000"/>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0D732C" w:rsidRDefault="000D732C">
            <w:pPr>
              <w:jc w:val="right"/>
              <w:rPr>
                <w:color w:val="000000"/>
              </w:rPr>
            </w:pPr>
          </w:p>
        </w:tc>
      </w:tr>
      <w:tr w:rsidR="000D732C" w:rsidTr="000D732C">
        <w:trPr>
          <w:gridAfter w:val="1"/>
          <w:wAfter w:w="11" w:type="dxa"/>
          <w:trHeight w:val="300"/>
        </w:trPr>
        <w:tc>
          <w:tcPr>
            <w:tcW w:w="2315" w:type="dxa"/>
            <w:tcBorders>
              <w:top w:val="single" w:sz="4" w:space="0" w:color="auto"/>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Кредиторская задолженность</w:t>
            </w:r>
          </w:p>
        </w:tc>
        <w:tc>
          <w:tcPr>
            <w:tcW w:w="22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18" w:type="dxa"/>
            <w:tcBorders>
              <w:top w:val="single" w:sz="4" w:space="0" w:color="auto"/>
              <w:left w:val="single" w:sz="4" w:space="0" w:color="auto"/>
              <w:bottom w:val="single" w:sz="4" w:space="0" w:color="auto"/>
              <w:right w:val="single" w:sz="4" w:space="0" w:color="auto"/>
            </w:tcBorders>
            <w:noWrap/>
            <w:vAlign w:val="center"/>
          </w:tcPr>
          <w:p w:rsidR="000D732C" w:rsidRDefault="000D732C">
            <w:pPr>
              <w:rPr>
                <w:color w:val="000000"/>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0D732C" w:rsidRDefault="000D732C">
            <w:pPr>
              <w:jc w:val="right"/>
              <w:rPr>
                <w:color w:val="000000"/>
              </w:rPr>
            </w:pPr>
          </w:p>
        </w:tc>
      </w:tr>
      <w:tr w:rsidR="000D732C" w:rsidTr="000D732C">
        <w:trPr>
          <w:gridAfter w:val="1"/>
          <w:wAfter w:w="11" w:type="dxa"/>
          <w:trHeight w:val="300"/>
        </w:trPr>
        <w:tc>
          <w:tcPr>
            <w:tcW w:w="2315" w:type="dxa"/>
            <w:tcBorders>
              <w:top w:val="single" w:sz="4" w:space="0" w:color="auto"/>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Доходы будущих периодов</w:t>
            </w:r>
          </w:p>
        </w:tc>
        <w:tc>
          <w:tcPr>
            <w:tcW w:w="22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18" w:type="dxa"/>
            <w:tcBorders>
              <w:top w:val="single" w:sz="4" w:space="0" w:color="auto"/>
              <w:left w:val="single" w:sz="4" w:space="0" w:color="auto"/>
              <w:bottom w:val="single" w:sz="4" w:space="0" w:color="auto"/>
              <w:right w:val="single" w:sz="4" w:space="0" w:color="auto"/>
            </w:tcBorders>
            <w:noWrap/>
            <w:vAlign w:val="center"/>
          </w:tcPr>
          <w:p w:rsidR="000D732C" w:rsidRDefault="000D732C">
            <w:pPr>
              <w:rPr>
                <w:color w:val="000000"/>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0D732C" w:rsidRDefault="000D732C">
            <w:pPr>
              <w:jc w:val="right"/>
              <w:rPr>
                <w:color w:val="000000"/>
              </w:rPr>
            </w:pPr>
          </w:p>
        </w:tc>
      </w:tr>
      <w:tr w:rsidR="000D732C" w:rsidTr="000D732C">
        <w:trPr>
          <w:gridAfter w:val="1"/>
          <w:wAfter w:w="11" w:type="dxa"/>
          <w:trHeight w:val="300"/>
        </w:trPr>
        <w:tc>
          <w:tcPr>
            <w:tcW w:w="2315" w:type="dxa"/>
            <w:tcBorders>
              <w:top w:val="single" w:sz="4" w:space="0" w:color="auto"/>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Оценочные обязательства</w:t>
            </w:r>
          </w:p>
        </w:tc>
        <w:tc>
          <w:tcPr>
            <w:tcW w:w="22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18" w:type="dxa"/>
            <w:tcBorders>
              <w:top w:val="single" w:sz="4" w:space="0" w:color="auto"/>
              <w:left w:val="single" w:sz="4" w:space="0" w:color="auto"/>
              <w:bottom w:val="single" w:sz="4" w:space="0" w:color="auto"/>
              <w:right w:val="single" w:sz="4" w:space="0" w:color="auto"/>
            </w:tcBorders>
            <w:noWrap/>
            <w:vAlign w:val="center"/>
          </w:tcPr>
          <w:p w:rsidR="000D732C" w:rsidRDefault="000D732C">
            <w:pPr>
              <w:rPr>
                <w:color w:val="000000"/>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0D732C" w:rsidRDefault="000D732C">
            <w:pPr>
              <w:jc w:val="right"/>
              <w:rPr>
                <w:color w:val="000000"/>
              </w:rPr>
            </w:pPr>
          </w:p>
        </w:tc>
      </w:tr>
      <w:tr w:rsidR="000D732C" w:rsidTr="000D732C">
        <w:trPr>
          <w:gridAfter w:val="1"/>
          <w:wAfter w:w="11" w:type="dxa"/>
          <w:trHeight w:val="300"/>
        </w:trPr>
        <w:tc>
          <w:tcPr>
            <w:tcW w:w="2315" w:type="dxa"/>
            <w:tcBorders>
              <w:top w:val="single" w:sz="4" w:space="0" w:color="auto"/>
              <w:left w:val="single" w:sz="4" w:space="0" w:color="auto"/>
              <w:bottom w:val="single" w:sz="4" w:space="0" w:color="auto"/>
              <w:right w:val="single" w:sz="4" w:space="0" w:color="auto"/>
            </w:tcBorders>
            <w:vAlign w:val="bottom"/>
            <w:hideMark/>
          </w:tcPr>
          <w:p w:rsidR="000D732C" w:rsidRDefault="000D732C">
            <w:pPr>
              <w:rPr>
                <w:color w:val="000000"/>
              </w:rPr>
            </w:pPr>
            <w:r>
              <w:rPr>
                <w:color w:val="000000"/>
              </w:rPr>
              <w:t>Прочие обязательства</w:t>
            </w:r>
          </w:p>
        </w:tc>
        <w:tc>
          <w:tcPr>
            <w:tcW w:w="22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18" w:type="dxa"/>
            <w:tcBorders>
              <w:top w:val="single" w:sz="4" w:space="0" w:color="auto"/>
              <w:left w:val="single" w:sz="4" w:space="0" w:color="auto"/>
              <w:bottom w:val="single" w:sz="4" w:space="0" w:color="auto"/>
              <w:right w:val="single" w:sz="4" w:space="0" w:color="auto"/>
            </w:tcBorders>
            <w:noWrap/>
            <w:vAlign w:val="center"/>
          </w:tcPr>
          <w:p w:rsidR="000D732C" w:rsidRDefault="000D732C">
            <w:pPr>
              <w:rPr>
                <w:color w:val="000000"/>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0D732C" w:rsidRDefault="000D732C">
            <w:pPr>
              <w:jc w:val="right"/>
              <w:rPr>
                <w:color w:val="000000"/>
              </w:rPr>
            </w:pPr>
          </w:p>
        </w:tc>
      </w:tr>
      <w:tr w:rsidR="000D732C" w:rsidTr="000D732C">
        <w:trPr>
          <w:gridAfter w:val="1"/>
          <w:wAfter w:w="11" w:type="dxa"/>
          <w:trHeight w:val="300"/>
        </w:trPr>
        <w:tc>
          <w:tcPr>
            <w:tcW w:w="2315" w:type="dxa"/>
            <w:tcBorders>
              <w:top w:val="single" w:sz="4" w:space="0" w:color="auto"/>
              <w:left w:val="single" w:sz="4" w:space="0" w:color="auto"/>
              <w:bottom w:val="single" w:sz="4" w:space="0" w:color="auto"/>
              <w:right w:val="single" w:sz="4" w:space="0" w:color="auto"/>
            </w:tcBorders>
            <w:vAlign w:val="bottom"/>
            <w:hideMark/>
          </w:tcPr>
          <w:p w:rsidR="000D732C" w:rsidRDefault="000D732C">
            <w:pPr>
              <w:rPr>
                <w:b/>
                <w:bCs/>
                <w:color w:val="000000"/>
              </w:rPr>
            </w:pPr>
            <w:r>
              <w:rPr>
                <w:b/>
                <w:bCs/>
                <w:color w:val="000000"/>
              </w:rPr>
              <w:t>Итого по разделу V</w:t>
            </w:r>
          </w:p>
        </w:tc>
        <w:tc>
          <w:tcPr>
            <w:tcW w:w="223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color w:val="000000"/>
              </w:rPr>
            </w:pPr>
          </w:p>
        </w:tc>
        <w:tc>
          <w:tcPr>
            <w:tcW w:w="1818" w:type="dxa"/>
            <w:tcBorders>
              <w:top w:val="single" w:sz="4" w:space="0" w:color="auto"/>
              <w:left w:val="single" w:sz="4" w:space="0" w:color="auto"/>
              <w:bottom w:val="single" w:sz="4" w:space="0" w:color="auto"/>
              <w:right w:val="single" w:sz="4" w:space="0" w:color="auto"/>
            </w:tcBorders>
            <w:noWrap/>
            <w:vAlign w:val="center"/>
          </w:tcPr>
          <w:p w:rsidR="000D732C" w:rsidRDefault="000D732C">
            <w:pPr>
              <w:rPr>
                <w:b/>
                <w:bCs/>
                <w:color w:val="000000"/>
              </w:rPr>
            </w:pPr>
          </w:p>
        </w:tc>
        <w:tc>
          <w:tcPr>
            <w:tcW w:w="1752" w:type="dxa"/>
            <w:tcBorders>
              <w:top w:val="single" w:sz="4" w:space="0" w:color="auto"/>
              <w:left w:val="single" w:sz="4" w:space="0" w:color="auto"/>
              <w:bottom w:val="single" w:sz="4" w:space="0" w:color="auto"/>
              <w:right w:val="single" w:sz="4" w:space="0" w:color="auto"/>
            </w:tcBorders>
            <w:noWrap/>
            <w:vAlign w:val="center"/>
          </w:tcPr>
          <w:p w:rsidR="000D732C" w:rsidRDefault="000D732C">
            <w:pPr>
              <w:jc w:val="right"/>
              <w:rPr>
                <w:b/>
                <w:bCs/>
                <w:color w:val="000000"/>
              </w:rPr>
            </w:pPr>
          </w:p>
        </w:tc>
      </w:tr>
      <w:tr w:rsidR="000D732C" w:rsidTr="000D732C">
        <w:trPr>
          <w:gridAfter w:val="1"/>
          <w:wAfter w:w="11" w:type="dxa"/>
          <w:trHeight w:val="300"/>
        </w:trPr>
        <w:tc>
          <w:tcPr>
            <w:tcW w:w="2315" w:type="dxa"/>
            <w:tcBorders>
              <w:top w:val="single" w:sz="4" w:space="0" w:color="auto"/>
              <w:left w:val="single" w:sz="4" w:space="0" w:color="auto"/>
              <w:bottom w:val="single" w:sz="4" w:space="0" w:color="auto"/>
              <w:right w:val="single" w:sz="4" w:space="0" w:color="auto"/>
            </w:tcBorders>
            <w:shd w:val="clear" w:color="auto" w:fill="FCE4D6"/>
            <w:vAlign w:val="bottom"/>
            <w:hideMark/>
          </w:tcPr>
          <w:p w:rsidR="000D732C" w:rsidRDefault="000D732C">
            <w:pPr>
              <w:rPr>
                <w:b/>
                <w:bCs/>
                <w:color w:val="000000"/>
              </w:rPr>
            </w:pPr>
            <w:r>
              <w:rPr>
                <w:b/>
                <w:bCs/>
                <w:color w:val="000000"/>
              </w:rPr>
              <w:t>БАЛАНС</w:t>
            </w:r>
          </w:p>
        </w:tc>
        <w:tc>
          <w:tcPr>
            <w:tcW w:w="2239" w:type="dxa"/>
            <w:tcBorders>
              <w:top w:val="single" w:sz="4" w:space="0" w:color="auto"/>
              <w:left w:val="single" w:sz="4" w:space="0" w:color="auto"/>
              <w:bottom w:val="single" w:sz="4" w:space="0" w:color="auto"/>
              <w:right w:val="single" w:sz="4" w:space="0" w:color="auto"/>
            </w:tcBorders>
            <w:shd w:val="clear" w:color="auto" w:fill="FCE4D6"/>
            <w:noWrap/>
            <w:vAlign w:val="center"/>
          </w:tcPr>
          <w:p w:rsidR="000D732C" w:rsidRDefault="000D732C">
            <w:pPr>
              <w:jc w:val="center"/>
              <w:rPr>
                <w:b/>
                <w:bCs/>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FCE4D6"/>
            <w:noWrap/>
            <w:vAlign w:val="center"/>
          </w:tcPr>
          <w:p w:rsidR="000D732C" w:rsidRDefault="000D732C">
            <w:pPr>
              <w:jc w:val="center"/>
              <w:rPr>
                <w:b/>
                <w:bCs/>
                <w:color w:val="000000"/>
              </w:rPr>
            </w:pPr>
          </w:p>
        </w:tc>
        <w:tc>
          <w:tcPr>
            <w:tcW w:w="1818" w:type="dxa"/>
            <w:tcBorders>
              <w:top w:val="single" w:sz="4" w:space="0" w:color="auto"/>
              <w:left w:val="single" w:sz="4" w:space="0" w:color="auto"/>
              <w:bottom w:val="single" w:sz="4" w:space="0" w:color="auto"/>
              <w:right w:val="single" w:sz="4" w:space="0" w:color="auto"/>
            </w:tcBorders>
            <w:shd w:val="clear" w:color="auto" w:fill="FCE4D6"/>
            <w:noWrap/>
            <w:vAlign w:val="center"/>
          </w:tcPr>
          <w:p w:rsidR="000D732C" w:rsidRDefault="000D732C">
            <w:pPr>
              <w:rPr>
                <w:b/>
                <w:bCs/>
                <w:color w:val="000000"/>
              </w:rPr>
            </w:pPr>
          </w:p>
        </w:tc>
        <w:tc>
          <w:tcPr>
            <w:tcW w:w="1752" w:type="dxa"/>
            <w:tcBorders>
              <w:top w:val="single" w:sz="4" w:space="0" w:color="auto"/>
              <w:left w:val="single" w:sz="4" w:space="0" w:color="auto"/>
              <w:bottom w:val="single" w:sz="4" w:space="0" w:color="auto"/>
              <w:right w:val="single" w:sz="4" w:space="0" w:color="auto"/>
            </w:tcBorders>
            <w:shd w:val="clear" w:color="auto" w:fill="FCE4D6"/>
            <w:noWrap/>
            <w:vAlign w:val="center"/>
          </w:tcPr>
          <w:p w:rsidR="000D732C" w:rsidRDefault="000D732C">
            <w:pPr>
              <w:jc w:val="right"/>
              <w:rPr>
                <w:b/>
                <w:bCs/>
                <w:color w:val="000000"/>
              </w:rPr>
            </w:pPr>
          </w:p>
        </w:tc>
      </w:tr>
    </w:tbl>
    <w:p w:rsidR="000D732C" w:rsidRDefault="000D732C" w:rsidP="000D732C">
      <w:pPr>
        <w:widowControl w:val="0"/>
        <w:autoSpaceDE w:val="0"/>
        <w:autoSpaceDN w:val="0"/>
        <w:adjustRightInd w:val="0"/>
        <w:rPr>
          <w:sz w:val="22"/>
        </w:rPr>
      </w:pPr>
    </w:p>
    <w:p w:rsidR="000D732C" w:rsidRDefault="000D732C" w:rsidP="000D732C">
      <w:pPr>
        <w:tabs>
          <w:tab w:val="num" w:pos="3960"/>
        </w:tabs>
        <w:spacing w:before="120"/>
        <w:ind w:firstLine="720"/>
        <w:jc w:val="both"/>
        <w:rPr>
          <w:bCs/>
        </w:rPr>
      </w:pPr>
      <w:r>
        <w:rPr>
          <w:bCs/>
        </w:rPr>
        <w:t>4.2.2. Строка "КАПИТАЛ И РЕЗЕРВЫ " представляет сумму следующих показателей:</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"Уставный капитал (фактический)" – величина оплаченного уставного капитала за минусом задолженности учредителей по взносам в уставный капитал и суммы собственных акций, выкупленных у акционеров;</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"Добавочный капитал";</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"Целевое финансирование";</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 xml:space="preserve">"Резервы, фонды, нераспределенная прибыль (фактические)" – сумма нераспределенной прибыли, резервов (в </w:t>
      </w:r>
      <w:proofErr w:type="spellStart"/>
      <w:r>
        <w:rPr>
          <w:rFonts w:ascii="&amp;quot" w:hAnsi="&amp;quot"/>
          <w:color w:val="000000"/>
          <w:sz w:val="23"/>
          <w:szCs w:val="23"/>
        </w:rPr>
        <w:t>т.ч</w:t>
      </w:r>
      <w:proofErr w:type="spellEnd"/>
      <w:r>
        <w:rPr>
          <w:rFonts w:ascii="&amp;quot" w:hAnsi="&amp;quot"/>
          <w:color w:val="000000"/>
          <w:sz w:val="23"/>
          <w:szCs w:val="23"/>
        </w:rPr>
        <w:t>. резервов под условные обязательства и резервы предстоящих расходов) и фондов за минусом убытков;</w:t>
      </w:r>
    </w:p>
    <w:p w:rsidR="000D732C" w:rsidRDefault="000D732C" w:rsidP="000D732C">
      <w:pPr>
        <w:tabs>
          <w:tab w:val="num" w:pos="3960"/>
        </w:tabs>
        <w:spacing w:before="120"/>
        <w:ind w:firstLine="720"/>
        <w:jc w:val="both"/>
        <w:rPr>
          <w:bCs/>
        </w:rPr>
      </w:pPr>
      <w:r>
        <w:rPr>
          <w:bCs/>
        </w:rPr>
        <w:t>4.2.3. Строка "ДОЛГОСРОЧНЫЕ ОБЯЗАТЕЛЬСТВА" включает долгосрочные кредиты банков и долгосрочные займы, долгосрочную кредиторскую задолженность</w:t>
      </w:r>
      <w:r>
        <w:rPr>
          <w:bCs/>
        </w:rPr>
        <w:footnoteReference w:id="2"/>
      </w:r>
      <w:r>
        <w:rPr>
          <w:bCs/>
        </w:rPr>
        <w:t xml:space="preserve"> (которая в свою очередь, в том числе включает в себя отложенные налоговые обязательства и прочие долгосрочные обязательства).</w:t>
      </w:r>
    </w:p>
    <w:p w:rsidR="000D732C" w:rsidRDefault="000D732C" w:rsidP="000D732C">
      <w:pPr>
        <w:tabs>
          <w:tab w:val="num" w:pos="3960"/>
        </w:tabs>
        <w:spacing w:before="120"/>
        <w:ind w:firstLine="720"/>
        <w:jc w:val="both"/>
        <w:rPr>
          <w:bCs/>
        </w:rPr>
      </w:pPr>
      <w:r>
        <w:rPr>
          <w:bCs/>
        </w:rPr>
        <w:t>4.2.4. В строку "КРАТКОСРОЧНЫЕ ОБЯЗАТЕЛЬСТВА" включена сумма следующих показателей:</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"Краткосрочные кредиты" – краткосрочные заемные средства;</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"Краткосрочная кредиторская задолженность" – кредиторская задолженность Заемщика, срок погашения которой, согласно условиям договора, не превышает 12 месяцев;</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"Прочие краткосрочные обязательства" сумма краткосрочных обязательств, не включенных в перечисленные выше показатели;</w:t>
      </w:r>
    </w:p>
    <w:p w:rsidR="000D732C" w:rsidRDefault="000D732C" w:rsidP="000D732C">
      <w:pPr>
        <w:pStyle w:val="ListParagraph"/>
        <w:numPr>
          <w:ilvl w:val="0"/>
          <w:numId w:val="12"/>
        </w:numPr>
        <w:spacing w:after="285"/>
        <w:ind w:left="0" w:firstLine="567"/>
        <w:rPr>
          <w:rFonts w:ascii="&amp;quot" w:hAnsi="&amp;quot"/>
          <w:color w:val="000000"/>
          <w:sz w:val="23"/>
          <w:szCs w:val="23"/>
        </w:rPr>
      </w:pPr>
      <w:r>
        <w:rPr>
          <w:rFonts w:ascii="&amp;quot" w:hAnsi="&amp;quot"/>
          <w:color w:val="000000"/>
          <w:sz w:val="23"/>
          <w:szCs w:val="23"/>
        </w:rPr>
        <w:t>"Доходы будущих периодов".</w:t>
      </w:r>
    </w:p>
    <w:p w:rsidR="000D732C" w:rsidRDefault="000D732C" w:rsidP="000D732C">
      <w:pPr>
        <w:tabs>
          <w:tab w:val="num" w:pos="3960"/>
        </w:tabs>
        <w:spacing w:before="120"/>
        <w:ind w:firstLine="720"/>
        <w:jc w:val="both"/>
        <w:rPr>
          <w:bCs/>
        </w:rPr>
      </w:pPr>
      <w:r>
        <w:rPr>
          <w:bCs/>
        </w:rPr>
        <w:lastRenderedPageBreak/>
        <w:t xml:space="preserve">4.2.5. В столбцах </w:t>
      </w:r>
      <w:proofErr w:type="gramStart"/>
      <w:r>
        <w:rPr>
          <w:bCs/>
        </w:rPr>
        <w:t>в</w:t>
      </w:r>
      <w:proofErr w:type="gramEnd"/>
      <w:r>
        <w:rPr>
          <w:bCs/>
        </w:rPr>
        <w:t xml:space="preserve"> % </w:t>
      </w:r>
      <w:proofErr w:type="gramStart"/>
      <w:r>
        <w:rPr>
          <w:bCs/>
        </w:rPr>
        <w:t>к</w:t>
      </w:r>
      <w:proofErr w:type="gramEnd"/>
      <w:r>
        <w:rPr>
          <w:bCs/>
        </w:rPr>
        <w:t xml:space="preserve"> валюте баланс Таблицы 3 указываются относительные значения (в процентном выражении), характеризующие удельный вес каждого показателя в валюте баланса, за 100% принимается значение строки «Баланс».</w:t>
      </w:r>
    </w:p>
    <w:p w:rsidR="000D732C" w:rsidRDefault="000D732C" w:rsidP="000D732C">
      <w:pPr>
        <w:tabs>
          <w:tab w:val="num" w:pos="3960"/>
        </w:tabs>
        <w:spacing w:before="120"/>
        <w:ind w:firstLine="720"/>
        <w:jc w:val="both"/>
        <w:rPr>
          <w:bCs/>
        </w:rPr>
      </w:pPr>
      <w:r>
        <w:rPr>
          <w:bCs/>
        </w:rPr>
        <w:t>В столбцах Изменение за анализируемый период Таблицы 3 указывается абсолютное и относительное изменение каждого показателя за анализируемый период.</w:t>
      </w:r>
    </w:p>
    <w:p w:rsidR="000D732C" w:rsidRDefault="000D732C" w:rsidP="000D732C">
      <w:pPr>
        <w:tabs>
          <w:tab w:val="num" w:pos="3960"/>
        </w:tabs>
        <w:spacing w:before="120"/>
        <w:ind w:firstLine="720"/>
        <w:jc w:val="both"/>
        <w:rPr>
          <w:bCs/>
        </w:rPr>
      </w:pPr>
      <w:r>
        <w:rPr>
          <w:bCs/>
        </w:rPr>
        <w:t>4.2.6. Необходимо проанализировать абсолютное значение, удельный вес и изменение каждого показателя Таблицы 3.</w:t>
      </w:r>
    </w:p>
    <w:p w:rsidR="000D732C" w:rsidRDefault="000D732C" w:rsidP="000D732C">
      <w:pPr>
        <w:pStyle w:val="HTML"/>
        <w:jc w:val="both"/>
        <w:rPr>
          <w:rFonts w:ascii="Times New Roman" w:hAnsi="Times New Roman" w:cs="Times New Roman"/>
          <w:b/>
          <w:sz w:val="24"/>
          <w:szCs w:val="24"/>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rPr>
      </w:pPr>
      <w:bookmarkStart w:id="46" w:name="_Toc435803494"/>
      <w:bookmarkStart w:id="47" w:name="_Toc435803467"/>
      <w:bookmarkStart w:id="48" w:name="_Toc421527206"/>
      <w:r>
        <w:rPr>
          <w:b/>
        </w:rPr>
        <w:t xml:space="preserve">                                                     5. Аналитические показатели</w:t>
      </w:r>
      <w:bookmarkEnd w:id="46"/>
      <w:bookmarkEnd w:id="47"/>
      <w:bookmarkEnd w:id="48"/>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ab/>
        <w:t>Аналитические показатели основаны на расчете финансовых коэффициентов, исходной информацией для которых служат данные, отраженные в бухгалтерской (финансовой) отчетности.</w:t>
      </w: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ab/>
        <w:t xml:space="preserve">Условно аналитические показатели можно разделить по следующим признакам: коэффициенты, характеризующие финансовую устойчивость организации, коэффициенты, дающие оценку ликвидности и платежеспособности бизнеса, коэффициенты, отражающие эффективность экономической деятельности юридического лица. </w:t>
      </w: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
    <w:p w:rsidR="000D732C" w:rsidRDefault="000D732C" w:rsidP="000D732C">
      <w:pPr>
        <w:pStyle w:val="HTML"/>
        <w:jc w:val="center"/>
        <w:rPr>
          <w:rFonts w:ascii="Times New Roman" w:hAnsi="Times New Roman" w:cs="Times New Roman"/>
          <w:b/>
          <w:sz w:val="24"/>
          <w:szCs w:val="24"/>
        </w:rPr>
      </w:pPr>
      <w:r>
        <w:rPr>
          <w:rFonts w:ascii="Times New Roman" w:hAnsi="Times New Roman" w:cs="Times New Roman"/>
          <w:b/>
          <w:sz w:val="24"/>
          <w:szCs w:val="24"/>
        </w:rPr>
        <w:t>5.1 Финансовая устойчивость</w:t>
      </w:r>
    </w:p>
    <w:p w:rsidR="000D732C" w:rsidRDefault="000D732C" w:rsidP="000D732C">
      <w:pPr>
        <w:pStyle w:val="HTML"/>
        <w:jc w:val="center"/>
        <w:rPr>
          <w:rFonts w:ascii="Times New Roman" w:hAnsi="Times New Roman" w:cs="Times New Roman"/>
          <w:b/>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ab/>
        <w:t xml:space="preserve">Анализ финансовой устойчивости отражает стабильность финансового положения организации, позволяет определить способность поддерживать свою хозяйственно – финансовую деятельность в течение определенного периода времени. </w:t>
      </w: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ab/>
        <w:t xml:space="preserve">Финансовую устойчивость организации характеризуют различные коэффициенты и расчеты, однако основным показателем финансовой стабильности компании является доля вложенных собственных средств в общем объеме средств инвестирования. </w:t>
      </w:r>
      <w:proofErr w:type="gramStart"/>
      <w:r>
        <w:rPr>
          <w:rFonts w:ascii="Times New Roman" w:hAnsi="Times New Roman" w:cs="Times New Roman"/>
          <w:sz w:val="24"/>
          <w:szCs w:val="24"/>
        </w:rPr>
        <w:t xml:space="preserve">В данной Методике, для определения финансовой стабильности организации, используются следующие показатели: расчет размера чистых активов и собственного капитала организации (с учетом их динамики), коэффициента, характеризующего финансовую автономность или независимость, коэффициента обеспеченности </w:t>
      </w:r>
      <w:proofErr w:type="spellStart"/>
      <w:r>
        <w:rPr>
          <w:rFonts w:ascii="Times New Roman" w:hAnsi="Times New Roman" w:cs="Times New Roman"/>
          <w:sz w:val="24"/>
          <w:szCs w:val="24"/>
        </w:rPr>
        <w:t>внеоборотных</w:t>
      </w:r>
      <w:proofErr w:type="spellEnd"/>
      <w:r>
        <w:rPr>
          <w:rFonts w:ascii="Times New Roman" w:hAnsi="Times New Roman" w:cs="Times New Roman"/>
          <w:sz w:val="24"/>
          <w:szCs w:val="24"/>
        </w:rPr>
        <w:t xml:space="preserve"> активов собственным капиталом (коэффициент финансовой устойчивости), коэффициента покрытия оборотных активов собственным капиталом, доли оборотных активов в валюте баланса, доли основных средств в валюте баланса. </w:t>
      </w:r>
      <w:proofErr w:type="gramEnd"/>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5.1.1. Коэффициент автономии</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Коэффициент финансовой независимости или автономии служит для определения объема вложенных собственных средств (собственного капитала, СК) собственниками организации в общую стоимость имущества. Рассчитывается по следующей формуле:</w:t>
      </w:r>
    </w:p>
    <w:p w:rsidR="000D732C" w:rsidRDefault="000D732C" w:rsidP="000D732C">
      <w:pPr>
        <w:pStyle w:val="HTML"/>
        <w:jc w:val="center"/>
        <w:rPr>
          <w:rFonts w:ascii="Times New Roman" w:hAnsi="Times New Roman" w:cs="Times New Roman"/>
          <w:sz w:val="24"/>
          <w:szCs w:val="24"/>
        </w:rPr>
      </w:pPr>
    </w:p>
    <w:p w:rsidR="000D732C" w:rsidRDefault="000D732C" w:rsidP="000D732C">
      <w:pPr>
        <w:pStyle w:val="HTML"/>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Кав</w:t>
      </w:r>
      <w:proofErr w:type="spellEnd"/>
      <w:r>
        <w:rPr>
          <w:rFonts w:ascii="Times New Roman" w:hAnsi="Times New Roman" w:cs="Times New Roman"/>
          <w:b/>
          <w:sz w:val="24"/>
          <w:szCs w:val="24"/>
          <w:u w:val="single"/>
        </w:rPr>
        <w:t xml:space="preserve"> = стр. 1300 / стр. 1700</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Нормативное значение: 0,4 и более (оптимальное 0,5-0,7).</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При расчете «Коэффициента риска невозврата займа» таблица 4 п. 8 Методики, коэффициенту присваивается оценка в баллах:</w:t>
      </w:r>
    </w:p>
    <w:p w:rsidR="000D732C" w:rsidRDefault="000D732C" w:rsidP="000D732C">
      <w:pPr>
        <w:pStyle w:val="HTML"/>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Если Коэффициент автономии &lt;0,4; -1; </w:t>
      </w:r>
    </w:p>
    <w:p w:rsidR="000D732C" w:rsidRDefault="000D732C" w:rsidP="000D732C">
      <w:pPr>
        <w:pStyle w:val="HTML"/>
        <w:numPr>
          <w:ilvl w:val="0"/>
          <w:numId w:val="13"/>
        </w:numPr>
        <w:jc w:val="both"/>
        <w:rPr>
          <w:rFonts w:ascii="Times New Roman" w:hAnsi="Times New Roman" w:cs="Times New Roman"/>
          <w:sz w:val="24"/>
          <w:szCs w:val="24"/>
        </w:rPr>
      </w:pPr>
      <w:r>
        <w:rPr>
          <w:rFonts w:ascii="Times New Roman" w:hAnsi="Times New Roman" w:cs="Times New Roman"/>
          <w:sz w:val="24"/>
          <w:szCs w:val="24"/>
        </w:rPr>
        <w:t>Если Коэффициент автономии &lt;0,5; 0;</w:t>
      </w:r>
    </w:p>
    <w:p w:rsidR="000D732C" w:rsidRDefault="000D732C" w:rsidP="000D732C">
      <w:pPr>
        <w:pStyle w:val="HTML"/>
        <w:numPr>
          <w:ilvl w:val="0"/>
          <w:numId w:val="13"/>
        </w:numPr>
        <w:jc w:val="both"/>
        <w:rPr>
          <w:rFonts w:ascii="Times New Roman" w:hAnsi="Times New Roman" w:cs="Times New Roman"/>
          <w:sz w:val="24"/>
          <w:szCs w:val="24"/>
        </w:rPr>
      </w:pPr>
      <w:r>
        <w:rPr>
          <w:rFonts w:ascii="Times New Roman" w:hAnsi="Times New Roman" w:cs="Times New Roman"/>
          <w:sz w:val="24"/>
          <w:szCs w:val="24"/>
        </w:rPr>
        <w:t>Если Коэффициент автономии &gt;0,5; 1;</w:t>
      </w:r>
    </w:p>
    <w:p w:rsidR="000D732C" w:rsidRDefault="000D732C" w:rsidP="000D732C">
      <w:pPr>
        <w:pStyle w:val="HTML"/>
        <w:jc w:val="both"/>
        <w:rPr>
          <w:rFonts w:ascii="Times New Roman" w:hAnsi="Times New Roman" w:cs="Times New Roman"/>
          <w:sz w:val="24"/>
          <w:szCs w:val="24"/>
        </w:rPr>
      </w:pPr>
      <w:bookmarkStart w:id="49" w:name="_Toc435803495"/>
      <w:bookmarkStart w:id="50" w:name="_Toc435803468"/>
      <w:bookmarkStart w:id="51" w:name="_Toc421527207"/>
    </w:p>
    <w:p w:rsidR="000D732C" w:rsidRDefault="000D732C" w:rsidP="000D732C">
      <w:pPr>
        <w:pStyle w:val="HTML"/>
        <w:jc w:val="both"/>
        <w:rPr>
          <w:rFonts w:ascii="Times New Roman" w:hAnsi="Times New Roman" w:cs="Times New Roman"/>
          <w:b/>
          <w:sz w:val="24"/>
          <w:szCs w:val="24"/>
          <w:u w:val="single"/>
        </w:rPr>
      </w:pPr>
      <w:r>
        <w:rPr>
          <w:rFonts w:ascii="Times New Roman" w:hAnsi="Times New Roman" w:cs="Times New Roman"/>
          <w:b/>
          <w:sz w:val="24"/>
          <w:szCs w:val="24"/>
          <w:u w:val="single"/>
        </w:rPr>
        <w:t>5.1.2. Коэффициент обеспеченности собственными оборотными средствами</w:t>
      </w:r>
    </w:p>
    <w:p w:rsidR="000D732C" w:rsidRDefault="000D732C" w:rsidP="000D732C">
      <w:pPr>
        <w:pStyle w:val="HTML"/>
        <w:jc w:val="both"/>
        <w:rPr>
          <w:rFonts w:ascii="Times New Roman" w:hAnsi="Times New Roman" w:cs="Times New Roman"/>
          <w:b/>
          <w:sz w:val="24"/>
          <w:szCs w:val="24"/>
          <w:u w:val="single"/>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lastRenderedPageBreak/>
        <w:t>Коэффициент обеспеченности собственными средствами показывает, долю оборотных активов компании, финансируемых за счет собственных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едприятия.</w:t>
      </w:r>
    </w:p>
    <w:p w:rsidR="000D732C" w:rsidRDefault="000D732C" w:rsidP="000D732C">
      <w:pPr>
        <w:pStyle w:val="HTML"/>
        <w:jc w:val="both"/>
        <w:rPr>
          <w:rFonts w:ascii="Times New Roman" w:hAnsi="Times New Roman" w:cs="Times New Roman"/>
          <w:b/>
          <w:sz w:val="24"/>
          <w:szCs w:val="24"/>
          <w:u w:val="single"/>
        </w:rPr>
      </w:pPr>
    </w:p>
    <w:p w:rsidR="000D732C" w:rsidRDefault="000D732C" w:rsidP="000D732C">
      <w:pPr>
        <w:pStyle w:val="HTML"/>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Косс</w:t>
      </w:r>
      <w:proofErr w:type="spellEnd"/>
      <w:r>
        <w:rPr>
          <w:rFonts w:ascii="Times New Roman" w:hAnsi="Times New Roman" w:cs="Times New Roman"/>
          <w:b/>
          <w:sz w:val="24"/>
          <w:szCs w:val="24"/>
          <w:u w:val="single"/>
        </w:rPr>
        <w:t xml:space="preserve">= СОС  (стр. 1300 – 1100) / ОС (стр. 1200) </w:t>
      </w:r>
    </w:p>
    <w:p w:rsidR="000D732C" w:rsidRDefault="000D732C" w:rsidP="000D732C">
      <w:pPr>
        <w:pStyle w:val="HTML"/>
        <w:jc w:val="both"/>
        <w:rPr>
          <w:rFonts w:ascii="Times New Roman" w:hAnsi="Times New Roman" w:cs="Times New Roman"/>
          <w:b/>
          <w:sz w:val="24"/>
          <w:szCs w:val="24"/>
          <w:u w:val="single"/>
        </w:rPr>
      </w:pPr>
    </w:p>
    <w:p w:rsidR="000D732C" w:rsidRDefault="000D732C" w:rsidP="000D732C">
      <w:pPr>
        <w:pStyle w:val="HTML"/>
        <w:jc w:val="both"/>
        <w:rPr>
          <w:rFonts w:ascii="Times New Roman" w:hAnsi="Times New Roman" w:cs="Times New Roman"/>
          <w:sz w:val="24"/>
          <w:szCs w:val="24"/>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
        <w:t>Нормативное значение: 0,1 и более.</w:t>
      </w: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При расчете «Коэффициента риска невозврата займа» таблица 4 п. 8 Методики, коэффициенту присваивается оценка в баллах:</w:t>
      </w:r>
    </w:p>
    <w:p w:rsidR="000D732C" w:rsidRDefault="000D732C" w:rsidP="000D732C">
      <w:pPr>
        <w:pStyle w:val="HTML"/>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Косс</w:t>
      </w:r>
      <w:proofErr w:type="spellEnd"/>
      <w:r>
        <w:rPr>
          <w:rFonts w:ascii="Times New Roman" w:hAnsi="Times New Roman" w:cs="Times New Roman"/>
          <w:sz w:val="24"/>
          <w:szCs w:val="24"/>
        </w:rPr>
        <w:t xml:space="preserve"> &lt;0,1; -1; </w:t>
      </w:r>
    </w:p>
    <w:p w:rsidR="000D732C" w:rsidRDefault="000D732C" w:rsidP="000D732C">
      <w:pPr>
        <w:pStyle w:val="HTML"/>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Косс</w:t>
      </w:r>
      <w:proofErr w:type="spellEnd"/>
      <w:r>
        <w:rPr>
          <w:rFonts w:ascii="Times New Roman" w:hAnsi="Times New Roman" w:cs="Times New Roman"/>
          <w:sz w:val="24"/>
          <w:szCs w:val="24"/>
        </w:rPr>
        <w:t xml:space="preserve"> &lt;0,4; 0;</w:t>
      </w:r>
    </w:p>
    <w:p w:rsidR="000D732C" w:rsidRDefault="000D732C" w:rsidP="000D732C">
      <w:pPr>
        <w:pStyle w:val="HTML"/>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Косс</w:t>
      </w:r>
      <w:proofErr w:type="spellEnd"/>
      <w:r>
        <w:rPr>
          <w:rFonts w:ascii="Times New Roman" w:hAnsi="Times New Roman" w:cs="Times New Roman"/>
          <w:sz w:val="24"/>
          <w:szCs w:val="24"/>
        </w:rPr>
        <w:t xml:space="preserve"> &gt;0,4; 1;</w:t>
      </w:r>
    </w:p>
    <w:p w:rsidR="000D732C" w:rsidRDefault="000D732C" w:rsidP="000D732C">
      <w:pPr>
        <w:pStyle w:val="HTML"/>
        <w:jc w:val="center"/>
        <w:rPr>
          <w:rFonts w:ascii="Times New Roman" w:hAnsi="Times New Roman" w:cs="Times New Roman"/>
          <w:b/>
          <w:sz w:val="24"/>
          <w:szCs w:val="24"/>
          <w:u w:val="single"/>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u w:val="single"/>
        </w:rPr>
      </w:pPr>
      <w:r>
        <w:rPr>
          <w:b/>
          <w:u w:val="single"/>
        </w:rPr>
        <w:t>5.1.3</w:t>
      </w:r>
      <w:r>
        <w:rPr>
          <w:u w:val="single"/>
        </w:rPr>
        <w:t xml:space="preserve"> </w:t>
      </w:r>
      <w:r>
        <w:rPr>
          <w:b/>
          <w:u w:val="single"/>
        </w:rPr>
        <w:t>Коэффициент финансовой устойчивости</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
        <w:t>Коэффициент финансовой устойчивости (коэффициент долгосрочной финансовой независимости) – это финансовый индикатор, который дает аналитику представление о том, какая доля активов предприятия финансируется из устойчивых источников (долгосрочных пассивов и собственного капитала). КФУ демонстрирует финансовую устойчивость объекта инвестирования к внешним воздействиям</w:t>
      </w:r>
    </w:p>
    <w:p w:rsidR="000D732C" w:rsidRDefault="000D732C" w:rsidP="000D732C">
      <w:pPr>
        <w:pStyle w:val="HTML"/>
        <w:jc w:val="center"/>
        <w:rPr>
          <w:rFonts w:ascii="Times New Roman" w:hAnsi="Times New Roman" w:cs="Times New Roman"/>
          <w:b/>
          <w:sz w:val="24"/>
          <w:szCs w:val="24"/>
          <w:u w:val="single"/>
        </w:rPr>
      </w:pPr>
      <w:r>
        <w:rPr>
          <w:rFonts w:ascii="Times New Roman" w:hAnsi="Times New Roman" w:cs="Times New Roman"/>
          <w:b/>
          <w:sz w:val="24"/>
          <w:szCs w:val="24"/>
          <w:u w:val="single"/>
        </w:rPr>
        <w:t>КФУ = СК + стр. 1400 / стр. 1600</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
        <w:t>Нормативное значение: 0,65 и более.</w:t>
      </w: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При расчете «Коэффициента риска невозврата займа» таблица 4 п. 8 Методики, коэффициенту присваивается оценка в баллах:</w:t>
      </w:r>
    </w:p>
    <w:p w:rsidR="000D732C" w:rsidRDefault="000D732C" w:rsidP="000D732C">
      <w:pPr>
        <w:pStyle w:val="HTML"/>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Если КФУ &lt;0,6; -1; </w:t>
      </w:r>
    </w:p>
    <w:p w:rsidR="000D732C" w:rsidRDefault="000D732C" w:rsidP="000D732C">
      <w:pPr>
        <w:pStyle w:val="HTML"/>
        <w:numPr>
          <w:ilvl w:val="0"/>
          <w:numId w:val="15"/>
        </w:numPr>
        <w:jc w:val="both"/>
        <w:rPr>
          <w:rFonts w:ascii="Times New Roman" w:hAnsi="Times New Roman" w:cs="Times New Roman"/>
          <w:sz w:val="24"/>
          <w:szCs w:val="24"/>
        </w:rPr>
      </w:pPr>
      <w:r>
        <w:rPr>
          <w:rFonts w:ascii="Times New Roman" w:hAnsi="Times New Roman" w:cs="Times New Roman"/>
          <w:sz w:val="24"/>
          <w:szCs w:val="24"/>
        </w:rPr>
        <w:t>Если КФУ &lt;0,8; 0;</w:t>
      </w:r>
    </w:p>
    <w:p w:rsidR="000D732C" w:rsidRDefault="000D732C" w:rsidP="000D732C">
      <w:pPr>
        <w:pStyle w:val="HTML"/>
        <w:numPr>
          <w:ilvl w:val="0"/>
          <w:numId w:val="15"/>
        </w:numPr>
        <w:jc w:val="both"/>
        <w:rPr>
          <w:rFonts w:ascii="Times New Roman" w:hAnsi="Times New Roman" w:cs="Times New Roman"/>
          <w:sz w:val="24"/>
          <w:szCs w:val="24"/>
        </w:rPr>
      </w:pPr>
      <w:r>
        <w:rPr>
          <w:rFonts w:ascii="Times New Roman" w:hAnsi="Times New Roman" w:cs="Times New Roman"/>
          <w:sz w:val="24"/>
          <w:szCs w:val="24"/>
        </w:rPr>
        <w:t>Если КФУ &gt;0,8; 1;</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rPr>
      </w:pPr>
      <w:r>
        <w:rPr>
          <w:b/>
        </w:rPr>
        <w:t xml:space="preserve">                6. Коэффициенты, характеризующие платежеспособность организации</w:t>
      </w:r>
      <w:bookmarkEnd w:id="49"/>
      <w:bookmarkEnd w:id="50"/>
      <w:bookmarkEnd w:id="51"/>
    </w:p>
    <w:p w:rsidR="000D732C" w:rsidRDefault="000D732C" w:rsidP="000D732C">
      <w:pPr>
        <w:pStyle w:val="HTML"/>
        <w:jc w:val="both"/>
        <w:rPr>
          <w:rFonts w:ascii="Times New Roman" w:hAnsi="Times New Roman" w:cs="Times New Roman"/>
          <w:sz w:val="24"/>
          <w:szCs w:val="24"/>
        </w:rPr>
      </w:pPr>
      <w:r>
        <w:rPr>
          <w:rFonts w:hint="eastAsia"/>
          <w:b/>
          <w:bCs/>
          <w:sz w:val="24"/>
          <w:szCs w:val="24"/>
        </w:rPr>
        <w:tab/>
      </w:r>
      <w:r>
        <w:rPr>
          <w:rFonts w:ascii="Times New Roman" w:hAnsi="Times New Roman" w:cs="Times New Roman"/>
          <w:b/>
          <w:bCs/>
          <w:sz w:val="24"/>
          <w:szCs w:val="24"/>
        </w:rPr>
        <w:t>Платежеспособность</w:t>
      </w:r>
      <w:r>
        <w:rPr>
          <w:rFonts w:ascii="Times New Roman" w:hAnsi="Times New Roman" w:cs="Times New Roman"/>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это способность организации полностью и в установленные сроки погашать свою кредиторскую задолженность. Платежеспособность является одним из ключевых признаков устойчивого финансового положения предприятия юридического лица, ввиду чего анализ данных показателей в Методике вынесен в отдельную группу. К составляющим платежеспособности можно отнести наличие активов (имущества и денежных средств), достаточных для погашения всех имеющихся у организации обязательств, а также степень их ликвидности, позволяющая конвертировать активы в денежные средства в объеме, достаточном для погашения организацией своих обязательств. Платежеспособность организации с точки зрения ликвидности активов анализируется посредством специальных финансовых коэффициентов – коэффициентов ликвидности, а именно коэффициента абсолютной ликвидности (коэффициента мгновенной ликвидности), коэффициента покрытия (коэффициента быстрой ликвидности), коэффициента текущей ликвидности. При условии удовлетворения нормативным значениям коэффициентов данной группы, организацию можно считать платежеспособной.</w:t>
      </w:r>
    </w:p>
    <w:p w:rsidR="000D732C" w:rsidRDefault="000D732C" w:rsidP="000D732C">
      <w:pPr>
        <w:pStyle w:val="HTML"/>
        <w:jc w:val="both"/>
        <w:rPr>
          <w:rFonts w:ascii="Times New Roman" w:hAnsi="Times New Roman" w:cs="Times New Roman"/>
          <w:b/>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b/>
          <w:sz w:val="24"/>
          <w:szCs w:val="24"/>
          <w:u w:val="single"/>
        </w:rPr>
        <w:t>6.1. Коэффициент абсолютной ликвидности</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rPr>
          <w:rFonts w:ascii="Times New Roman" w:hAnsi="Times New Roman" w:cs="Times New Roman"/>
          <w:sz w:val="24"/>
          <w:szCs w:val="24"/>
        </w:rPr>
      </w:pPr>
      <w:r>
        <w:rPr>
          <w:rFonts w:ascii="Times New Roman" w:hAnsi="Times New Roman" w:cs="Times New Roman"/>
          <w:bCs/>
          <w:sz w:val="24"/>
          <w:szCs w:val="24"/>
        </w:rPr>
        <w:lastRenderedPageBreak/>
        <w:t>Коэффициент абсолютной ликвидности показывает, какая доля краткосрочных долговых обязательств будет покрыта за счет денежных средств и их эквивалентов в виде рыночных ценных бумаг и депозитов, т.е. абсолютно ликвидными активами.</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center"/>
        <w:rPr>
          <w:rFonts w:ascii="Times New Roman" w:hAnsi="Times New Roman" w:cs="Times New Roman"/>
          <w:b/>
          <w:i/>
          <w:sz w:val="24"/>
          <w:szCs w:val="24"/>
        </w:rPr>
      </w:pPr>
      <w:proofErr w:type="spellStart"/>
      <w:r>
        <w:rPr>
          <w:rFonts w:ascii="Times New Roman" w:hAnsi="Times New Roman" w:cs="Times New Roman"/>
          <w:b/>
          <w:sz w:val="24"/>
          <w:szCs w:val="24"/>
        </w:rPr>
        <w:t>Кабл</w:t>
      </w:r>
      <w:proofErr w:type="spellEnd"/>
      <w:r>
        <w:rPr>
          <w:rFonts w:ascii="Times New Roman" w:hAnsi="Times New Roman" w:cs="Times New Roman"/>
          <w:b/>
          <w:i/>
          <w:sz w:val="24"/>
          <w:szCs w:val="24"/>
        </w:rPr>
        <w:t xml:space="preserve"> </w:t>
      </w:r>
      <w:r>
        <w:rPr>
          <w:rFonts w:ascii="Times New Roman" w:hAnsi="Times New Roman" w:cs="Times New Roman"/>
          <w:b/>
          <w:sz w:val="24"/>
          <w:szCs w:val="24"/>
        </w:rPr>
        <w:t>= стр. 1240 + стр. 1250 / стр. 1510 + стр. 1520 + стр. 1550</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 xml:space="preserve">Нормативным значением для данного коэффициента принимается значение не менее 0,2. </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При расчете «Коэффициента риска невозврата займа» таблица 4 п. 8 Методики, коэффициенту присваивается оценка в баллах:</w:t>
      </w:r>
    </w:p>
    <w:p w:rsidR="000D732C" w:rsidRDefault="000D732C" w:rsidP="000D732C">
      <w:pPr>
        <w:pStyle w:val="HTML"/>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Кабл</w:t>
      </w:r>
      <w:proofErr w:type="spellEnd"/>
      <w:r>
        <w:rPr>
          <w:rFonts w:ascii="Times New Roman" w:hAnsi="Times New Roman" w:cs="Times New Roman"/>
          <w:sz w:val="24"/>
          <w:szCs w:val="24"/>
        </w:rPr>
        <w:t xml:space="preserve"> &lt;0,1; -1; </w:t>
      </w:r>
    </w:p>
    <w:p w:rsidR="000D732C" w:rsidRDefault="000D732C" w:rsidP="000D732C">
      <w:pPr>
        <w:pStyle w:val="HTML"/>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Кабл</w:t>
      </w:r>
      <w:proofErr w:type="spellEnd"/>
      <w:r>
        <w:rPr>
          <w:rFonts w:ascii="Times New Roman" w:hAnsi="Times New Roman" w:cs="Times New Roman"/>
          <w:sz w:val="24"/>
          <w:szCs w:val="24"/>
        </w:rPr>
        <w:t xml:space="preserve"> &lt;0,25; 0;</w:t>
      </w:r>
    </w:p>
    <w:p w:rsidR="000D732C" w:rsidRDefault="000D732C" w:rsidP="000D732C">
      <w:pPr>
        <w:pStyle w:val="HTML"/>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Кабл</w:t>
      </w:r>
      <w:proofErr w:type="spellEnd"/>
      <w:r>
        <w:rPr>
          <w:rFonts w:ascii="Times New Roman" w:hAnsi="Times New Roman" w:cs="Times New Roman"/>
          <w:sz w:val="24"/>
          <w:szCs w:val="24"/>
        </w:rPr>
        <w:t xml:space="preserve"> &gt;0,25; 1;</w:t>
      </w: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
    <w:p w:rsidR="000D732C" w:rsidRDefault="000D732C" w:rsidP="000D732C">
      <w:pPr>
        <w:pStyle w:val="HTML"/>
        <w:jc w:val="both"/>
        <w:rPr>
          <w:rFonts w:ascii="Times New Roman" w:hAnsi="Times New Roman" w:cs="Times New Roman"/>
          <w:b/>
          <w:sz w:val="24"/>
          <w:szCs w:val="24"/>
          <w:u w:val="single"/>
        </w:rPr>
      </w:pPr>
      <w:r>
        <w:rPr>
          <w:rFonts w:ascii="Times New Roman" w:hAnsi="Times New Roman" w:cs="Times New Roman"/>
          <w:b/>
          <w:sz w:val="24"/>
          <w:szCs w:val="24"/>
          <w:u w:val="single"/>
        </w:rPr>
        <w:t>6.2. Коэффициент быстрой (срочной) ликвидности</w:t>
      </w:r>
    </w:p>
    <w:p w:rsidR="000D732C" w:rsidRDefault="000D732C" w:rsidP="000D732C">
      <w:pPr>
        <w:pStyle w:val="HTML"/>
        <w:jc w:val="both"/>
        <w:rPr>
          <w:rFonts w:ascii="Times New Roman" w:hAnsi="Times New Roman" w:cs="Times New Roman"/>
          <w:sz w:val="24"/>
          <w:szCs w:val="24"/>
          <w:u w:val="single"/>
        </w:rPr>
      </w:pPr>
    </w:p>
    <w:p w:rsidR="000D732C" w:rsidRDefault="000D732C" w:rsidP="000D732C">
      <w:pPr>
        <w:pStyle w:val="HTML"/>
        <w:jc w:val="both"/>
        <w:rPr>
          <w:rFonts w:ascii="Times New Roman" w:hAnsi="Times New Roman" w:cs="Times New Roman"/>
          <w:bCs/>
          <w:sz w:val="24"/>
          <w:szCs w:val="24"/>
        </w:rPr>
      </w:pPr>
      <w:r>
        <w:rPr>
          <w:rFonts w:ascii="Times New Roman" w:hAnsi="Times New Roman" w:cs="Times New Roman"/>
          <w:bCs/>
          <w:sz w:val="24"/>
          <w:szCs w:val="24"/>
        </w:rPr>
        <w:t>Коэффициент быстрой ликвидности - финансовый коэффициент, равный отношению высоколиквидных текущих активов к краткосрочным обязательствам (текущим пассивам). Данные для расчета - бухгалтерский баланс компании. В отличие от коэффициента текущей ликвидности, здесь в составе активов аналитики не учитывают материально-производственные запасы, так как при их вынужденной реализации убытки максимальны среди всех оборотных средств.</w:t>
      </w:r>
    </w:p>
    <w:p w:rsidR="000D732C" w:rsidRDefault="000D732C" w:rsidP="000D732C">
      <w:pPr>
        <w:pStyle w:val="HTML"/>
        <w:jc w:val="center"/>
        <w:rPr>
          <w:rFonts w:ascii="Times New Roman" w:hAnsi="Times New Roman" w:cs="Times New Roman"/>
          <w:b/>
          <w:i/>
          <w:sz w:val="24"/>
          <w:szCs w:val="24"/>
        </w:rPr>
      </w:pPr>
    </w:p>
    <w:p w:rsidR="000D732C" w:rsidRDefault="000D732C" w:rsidP="000D732C">
      <w:pPr>
        <w:pStyle w:val="HTML"/>
        <w:jc w:val="center"/>
        <w:rPr>
          <w:rFonts w:ascii="Times New Roman" w:hAnsi="Times New Roman" w:cs="Times New Roman"/>
          <w:b/>
          <w:sz w:val="24"/>
          <w:szCs w:val="24"/>
        </w:rPr>
      </w:pPr>
      <w:proofErr w:type="spellStart"/>
      <w:r>
        <w:rPr>
          <w:rFonts w:ascii="Times New Roman" w:hAnsi="Times New Roman" w:cs="Times New Roman"/>
          <w:b/>
          <w:sz w:val="24"/>
          <w:szCs w:val="24"/>
        </w:rPr>
        <w:t>Ксрл</w:t>
      </w:r>
      <w:proofErr w:type="spellEnd"/>
      <w:r>
        <w:rPr>
          <w:rFonts w:ascii="Times New Roman" w:hAnsi="Times New Roman" w:cs="Times New Roman"/>
          <w:b/>
          <w:sz w:val="24"/>
          <w:szCs w:val="24"/>
        </w:rPr>
        <w:t xml:space="preserve"> = стр. 1240 + стр. 1250 + стр. 1230 / стр. 1510 + стр. 1520 стр. 1550</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Нормативное значение для данного коэффициента принимается в размере не менее 0,8</w:t>
      </w:r>
    </w:p>
    <w:p w:rsidR="000D732C" w:rsidRDefault="000D732C" w:rsidP="000D732C">
      <w:pPr>
        <w:pStyle w:val="HTML"/>
        <w:jc w:val="both"/>
        <w:rPr>
          <w:rFonts w:ascii="Times New Roman" w:hAnsi="Times New Roman" w:cs="Times New Roman"/>
          <w:b/>
          <w:sz w:val="24"/>
          <w:szCs w:val="24"/>
          <w:u w:val="single"/>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При расчете «Коэффициента риска невозврата займа» таблица 4 п. 8 Методики, коэффициенту присваивается оценка в баллах:</w:t>
      </w:r>
    </w:p>
    <w:p w:rsidR="000D732C" w:rsidRDefault="000D732C" w:rsidP="000D732C">
      <w:pPr>
        <w:pStyle w:val="HTML"/>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Ксрл</w:t>
      </w:r>
      <w:proofErr w:type="spellEnd"/>
      <w:r>
        <w:rPr>
          <w:rFonts w:ascii="Times New Roman" w:hAnsi="Times New Roman" w:cs="Times New Roman"/>
          <w:sz w:val="24"/>
          <w:szCs w:val="24"/>
        </w:rPr>
        <w:t xml:space="preserve"> &lt;0,4; -1; </w:t>
      </w:r>
    </w:p>
    <w:p w:rsidR="000D732C" w:rsidRDefault="000D732C" w:rsidP="000D732C">
      <w:pPr>
        <w:pStyle w:val="HTML"/>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Ксрл</w:t>
      </w:r>
      <w:proofErr w:type="spellEnd"/>
      <w:r>
        <w:rPr>
          <w:rFonts w:ascii="Times New Roman" w:hAnsi="Times New Roman" w:cs="Times New Roman"/>
          <w:sz w:val="24"/>
          <w:szCs w:val="24"/>
        </w:rPr>
        <w:t xml:space="preserve"> &lt;0,8; 0;</w:t>
      </w:r>
    </w:p>
    <w:p w:rsidR="000D732C" w:rsidRDefault="000D732C" w:rsidP="000D732C">
      <w:pPr>
        <w:pStyle w:val="HTML"/>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Ксрл</w:t>
      </w:r>
      <w:proofErr w:type="spellEnd"/>
      <w:r>
        <w:rPr>
          <w:rFonts w:ascii="Times New Roman" w:hAnsi="Times New Roman" w:cs="Times New Roman"/>
          <w:sz w:val="24"/>
          <w:szCs w:val="24"/>
        </w:rPr>
        <w:t xml:space="preserve"> &gt;0,8; 1;</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b/>
          <w:sz w:val="24"/>
          <w:szCs w:val="24"/>
          <w:u w:val="single"/>
        </w:rPr>
      </w:pPr>
    </w:p>
    <w:p w:rsidR="000D732C" w:rsidRDefault="000D732C" w:rsidP="000D732C">
      <w:pPr>
        <w:pStyle w:val="HTML"/>
        <w:jc w:val="both"/>
        <w:rPr>
          <w:rFonts w:ascii="Times New Roman" w:hAnsi="Times New Roman" w:cs="Times New Roman"/>
          <w:b/>
          <w:sz w:val="24"/>
          <w:szCs w:val="24"/>
          <w:u w:val="single"/>
        </w:rPr>
      </w:pPr>
      <w:r>
        <w:rPr>
          <w:rFonts w:ascii="Times New Roman" w:hAnsi="Times New Roman" w:cs="Times New Roman"/>
          <w:b/>
          <w:sz w:val="24"/>
          <w:szCs w:val="24"/>
          <w:u w:val="single"/>
        </w:rPr>
        <w:t>6.3. Коэффициент текущей ликвидности</w:t>
      </w:r>
    </w:p>
    <w:p w:rsidR="000D732C" w:rsidRDefault="000D732C" w:rsidP="000D732C">
      <w:pPr>
        <w:pStyle w:val="HTML"/>
        <w:jc w:val="both"/>
        <w:rPr>
          <w:rFonts w:ascii="Times New Roman" w:hAnsi="Times New Roman" w:cs="Times New Roman"/>
          <w:b/>
          <w:sz w:val="24"/>
          <w:szCs w:val="24"/>
          <w:u w:val="single"/>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Коэффициент текущей ликвидности показывает способность компании погашать текущие (краткосрочные) обязательства за счёт только оборотных активов. Чем больше значение коэффициента, тем лучше платежеспособность предприятия. Этот показатель учитывает, что не все активы можно продать в срочном порядке.</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center"/>
        <w:rPr>
          <w:rFonts w:ascii="Times New Roman" w:hAnsi="Times New Roman" w:cs="Times New Roman"/>
          <w:sz w:val="24"/>
          <w:szCs w:val="24"/>
        </w:rPr>
      </w:pPr>
      <w:proofErr w:type="spellStart"/>
      <w:r>
        <w:rPr>
          <w:rFonts w:ascii="Times New Roman" w:hAnsi="Times New Roman" w:cs="Times New Roman"/>
          <w:b/>
          <w:sz w:val="24"/>
          <w:szCs w:val="24"/>
        </w:rPr>
        <w:t>Ктекл</w:t>
      </w:r>
      <w:proofErr w:type="spellEnd"/>
      <w:r>
        <w:rPr>
          <w:rFonts w:ascii="Times New Roman" w:hAnsi="Times New Roman" w:cs="Times New Roman"/>
          <w:sz w:val="24"/>
          <w:szCs w:val="24"/>
        </w:rPr>
        <w:t xml:space="preserve"> </w:t>
      </w:r>
      <w:r>
        <w:rPr>
          <w:rFonts w:ascii="Times New Roman" w:hAnsi="Times New Roman" w:cs="Times New Roman"/>
          <w:b/>
          <w:sz w:val="24"/>
          <w:szCs w:val="24"/>
        </w:rPr>
        <w:t>= стр. 1200 / стр. 1510 + стр. 1520 + стр. 1550</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Нормативное значение для данного коэффициента принимается в размере не менее 1,2</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При расчете «Коэффициента риска невозврата займа» таблица 4 п. 8 Методики, коэффициенту присваивается оценка в баллах:</w:t>
      </w:r>
    </w:p>
    <w:p w:rsidR="000D732C" w:rsidRDefault="000D732C" w:rsidP="000D732C">
      <w:pPr>
        <w:pStyle w:val="HTML"/>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Ктекл</w:t>
      </w:r>
      <w:proofErr w:type="spellEnd"/>
      <w:r>
        <w:rPr>
          <w:rFonts w:ascii="Times New Roman" w:hAnsi="Times New Roman" w:cs="Times New Roman"/>
          <w:sz w:val="24"/>
          <w:szCs w:val="24"/>
        </w:rPr>
        <w:t xml:space="preserve"> &lt;0,8; -1; </w:t>
      </w:r>
    </w:p>
    <w:p w:rsidR="000D732C" w:rsidRDefault="000D732C" w:rsidP="000D732C">
      <w:pPr>
        <w:pStyle w:val="HTML"/>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Ктекл</w:t>
      </w:r>
      <w:proofErr w:type="spellEnd"/>
      <w:r>
        <w:rPr>
          <w:rFonts w:ascii="Times New Roman" w:hAnsi="Times New Roman" w:cs="Times New Roman"/>
          <w:sz w:val="24"/>
          <w:szCs w:val="24"/>
        </w:rPr>
        <w:t xml:space="preserve"> &lt;1,2; 0;</w:t>
      </w:r>
    </w:p>
    <w:p w:rsidR="000D732C" w:rsidRDefault="000D732C" w:rsidP="000D732C">
      <w:pPr>
        <w:pStyle w:val="HTML"/>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Ктекл</w:t>
      </w:r>
      <w:proofErr w:type="spellEnd"/>
      <w:r>
        <w:rPr>
          <w:rFonts w:ascii="Times New Roman" w:hAnsi="Times New Roman" w:cs="Times New Roman"/>
          <w:sz w:val="24"/>
          <w:szCs w:val="24"/>
        </w:rPr>
        <w:t xml:space="preserve"> &gt;1,2; 1;</w:t>
      </w:r>
    </w:p>
    <w:p w:rsidR="000D732C" w:rsidRDefault="000D732C" w:rsidP="000D732C">
      <w:pPr>
        <w:pStyle w:val="HTML"/>
        <w:jc w:val="both"/>
        <w:rPr>
          <w:rFonts w:ascii="Times New Roman" w:hAnsi="Times New Roman" w:cs="Times New Roman"/>
          <w:sz w:val="24"/>
          <w:szCs w:val="24"/>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b/>
        </w:rPr>
      </w:pPr>
      <w:bookmarkStart w:id="52" w:name="_Toc435803497"/>
      <w:bookmarkStart w:id="53" w:name="_Toc435803470"/>
      <w:bookmarkStart w:id="54" w:name="_Toc421527209"/>
      <w:r>
        <w:rPr>
          <w:b/>
        </w:rPr>
        <w:t>7. Коэффициенты, позволяющие оценить эффективность экономической деятельности организации</w:t>
      </w:r>
      <w:bookmarkEnd w:id="52"/>
      <w:bookmarkEnd w:id="53"/>
      <w:bookmarkEnd w:id="54"/>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lastRenderedPageBreak/>
        <w:tab/>
        <w:t>Рентабельность - относительный показатель экономической эффективности, отражающий степень эффективности использования материальных, трудовых и денежных ресурсов. Оценка экономической эффективности деятельности организации дает возможность создать целостную картину о его финансовом состоянии и характеризует перспективы  его развития.</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t>При анализе эффективности деятельности организации используются следующие коэффициенты:</w:t>
      </w:r>
    </w:p>
    <w:p w:rsidR="000D732C" w:rsidRDefault="000D732C" w:rsidP="000D732C">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рентабельность активов, </w:t>
      </w:r>
    </w:p>
    <w:p w:rsidR="000D732C" w:rsidRDefault="000D732C" w:rsidP="000D732C">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рентабельность продаж, </w:t>
      </w:r>
    </w:p>
    <w:p w:rsidR="000D732C" w:rsidRDefault="000D732C" w:rsidP="000D732C">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рентабельность собственного капитала.</w:t>
      </w:r>
    </w:p>
    <w:p w:rsidR="000D732C" w:rsidRDefault="000D732C" w:rsidP="000D732C">
      <w:pPr>
        <w:pStyle w:val="HTML"/>
        <w:jc w:val="both"/>
        <w:rPr>
          <w:rFonts w:ascii="Times New Roman" w:hAnsi="Times New Roman" w:cs="Times New Roman"/>
          <w:b/>
          <w:sz w:val="24"/>
          <w:szCs w:val="24"/>
          <w:u w:val="single"/>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b/>
          <w:sz w:val="24"/>
          <w:szCs w:val="24"/>
          <w:u w:val="single"/>
        </w:rPr>
        <w:t>7.1. Рентабельность собственного капитала</w:t>
      </w: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ab/>
      </w: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 xml:space="preserve">         Коэффициент рентабельности собственного капитала помогает оценить эффективность использования собственных средств компании (организации), вложенных в ее деятельность. Рассчитывается по формуле</w:t>
      </w:r>
      <w:proofErr w:type="gramStart"/>
      <w:r>
        <w:rPr>
          <w:rFonts w:ascii="Times New Roman" w:hAnsi="Times New Roman" w:cs="Times New Roman"/>
          <w:sz w:val="24"/>
          <w:szCs w:val="24"/>
        </w:rPr>
        <w:t xml:space="preserve"> (%):</w:t>
      </w:r>
      <w:proofErr w:type="gramEnd"/>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center"/>
        <w:rPr>
          <w:rFonts w:ascii="Times New Roman" w:hAnsi="Times New Roman" w:cs="Times New Roman"/>
          <w:sz w:val="24"/>
          <w:szCs w:val="24"/>
        </w:rPr>
      </w:pPr>
      <w:proofErr w:type="spellStart"/>
      <w:r>
        <w:rPr>
          <w:rFonts w:ascii="Times New Roman" w:hAnsi="Times New Roman" w:cs="Times New Roman"/>
          <w:sz w:val="24"/>
          <w:szCs w:val="24"/>
        </w:rPr>
        <w:t>Рск</w:t>
      </w:r>
      <w:proofErr w:type="spellEnd"/>
      <w:r>
        <w:rPr>
          <w:rFonts w:ascii="Times New Roman" w:hAnsi="Times New Roman" w:cs="Times New Roman"/>
          <w:sz w:val="24"/>
          <w:szCs w:val="24"/>
        </w:rPr>
        <w:t xml:space="preserve"> = ЧП/СК*100%;</w:t>
      </w:r>
    </w:p>
    <w:p w:rsidR="000D732C" w:rsidRDefault="000D732C" w:rsidP="000D732C">
      <w:pPr>
        <w:pStyle w:val="HTML"/>
        <w:jc w:val="center"/>
        <w:rPr>
          <w:rFonts w:ascii="Times New Roman" w:hAnsi="Times New Roman" w:cs="Times New Roman"/>
          <w:sz w:val="24"/>
          <w:szCs w:val="24"/>
        </w:rPr>
      </w:pPr>
    </w:p>
    <w:p w:rsidR="000D732C" w:rsidRDefault="000D732C" w:rsidP="000D732C">
      <w:pPr>
        <w:pStyle w:val="HTML"/>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ск</w:t>
      </w:r>
      <w:proofErr w:type="spellEnd"/>
      <w:r>
        <w:rPr>
          <w:rFonts w:ascii="Times New Roman" w:hAnsi="Times New Roman" w:cs="Times New Roman"/>
          <w:sz w:val="24"/>
          <w:szCs w:val="24"/>
        </w:rPr>
        <w:t xml:space="preserve"> = стр. 2400 / средняя величина СК в рамках периода, за который формировалась прибыль до налогообложения и ЧП*100%;</w:t>
      </w:r>
    </w:p>
    <w:p w:rsidR="000D732C" w:rsidRDefault="000D732C" w:rsidP="000D732C">
      <w:pPr>
        <w:pStyle w:val="HTML"/>
        <w:jc w:val="center"/>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 xml:space="preserve">       Нормативное значение: 13% и более.</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При расчете «Коэффициента риска невозврата займа» таблица 4 п. 8 Методики, коэффициенту присваивается оценка в баллах:</w:t>
      </w:r>
    </w:p>
    <w:p w:rsidR="000D732C" w:rsidRDefault="000D732C" w:rsidP="000D732C">
      <w:pPr>
        <w:pStyle w:val="HTML"/>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Рск</w:t>
      </w:r>
      <w:proofErr w:type="spellEnd"/>
      <w:r>
        <w:rPr>
          <w:rFonts w:ascii="Times New Roman" w:hAnsi="Times New Roman" w:cs="Times New Roman"/>
          <w:sz w:val="24"/>
          <w:szCs w:val="24"/>
        </w:rPr>
        <w:t xml:space="preserve"> &lt;0; -1; </w:t>
      </w:r>
    </w:p>
    <w:p w:rsidR="000D732C" w:rsidRDefault="000D732C" w:rsidP="000D732C">
      <w:pPr>
        <w:pStyle w:val="HTML"/>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Рск</w:t>
      </w:r>
      <w:proofErr w:type="spellEnd"/>
      <w:r>
        <w:rPr>
          <w:rFonts w:ascii="Times New Roman" w:hAnsi="Times New Roman" w:cs="Times New Roman"/>
          <w:sz w:val="24"/>
          <w:szCs w:val="24"/>
        </w:rPr>
        <w:t xml:space="preserve"> &lt;13; 0;</w:t>
      </w:r>
    </w:p>
    <w:p w:rsidR="000D732C" w:rsidRDefault="000D732C" w:rsidP="000D732C">
      <w:pPr>
        <w:pStyle w:val="HTML"/>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Рск</w:t>
      </w:r>
      <w:proofErr w:type="spellEnd"/>
      <w:r>
        <w:rPr>
          <w:rFonts w:ascii="Times New Roman" w:hAnsi="Times New Roman" w:cs="Times New Roman"/>
          <w:sz w:val="24"/>
          <w:szCs w:val="24"/>
        </w:rPr>
        <w:t xml:space="preserve"> &gt;13; 1;</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b/>
          <w:sz w:val="24"/>
          <w:szCs w:val="24"/>
          <w:u w:val="single"/>
        </w:rPr>
      </w:pPr>
      <w:r>
        <w:rPr>
          <w:rFonts w:ascii="Times New Roman" w:hAnsi="Times New Roman" w:cs="Times New Roman"/>
          <w:b/>
          <w:sz w:val="24"/>
          <w:szCs w:val="24"/>
          <w:u w:val="single"/>
        </w:rPr>
        <w:t>7.2. Рентабельность активов по прибыли до налогообложения</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 xml:space="preserve">          Коэффициент рентабельности активов организации рассчитывается с целью выявления эффективности использования имеющихся в распоряжении организации активов и влияние их на прибыль организации. Рассчитывается по формуле</w:t>
      </w:r>
      <w:proofErr w:type="gramStart"/>
      <w:r>
        <w:rPr>
          <w:rFonts w:ascii="Times New Roman" w:hAnsi="Times New Roman" w:cs="Times New Roman"/>
          <w:sz w:val="24"/>
          <w:szCs w:val="24"/>
        </w:rPr>
        <w:t>, (%):</w:t>
      </w:r>
      <w:proofErr w:type="gramEnd"/>
    </w:p>
    <w:p w:rsidR="000D732C" w:rsidRDefault="000D732C" w:rsidP="000D732C">
      <w:pPr>
        <w:pStyle w:val="HTML"/>
        <w:jc w:val="center"/>
        <w:rPr>
          <w:rFonts w:ascii="Times New Roman" w:hAnsi="Times New Roman" w:cs="Times New Roman"/>
          <w:i/>
          <w:sz w:val="24"/>
          <w:szCs w:val="24"/>
        </w:rPr>
      </w:pPr>
    </w:p>
    <w:p w:rsidR="000D732C" w:rsidRDefault="000D732C" w:rsidP="000D732C">
      <w:pPr>
        <w:pStyle w:val="HTML"/>
        <w:jc w:val="center"/>
        <w:rPr>
          <w:rFonts w:ascii="Times New Roman" w:hAnsi="Times New Roman" w:cs="Times New Roman"/>
          <w:sz w:val="24"/>
          <w:szCs w:val="24"/>
        </w:rPr>
      </w:pPr>
      <w:r>
        <w:rPr>
          <w:rFonts w:ascii="Times New Roman" w:hAnsi="Times New Roman" w:cs="Times New Roman"/>
          <w:sz w:val="24"/>
          <w:szCs w:val="24"/>
        </w:rPr>
        <w:t xml:space="preserve">Ра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средняя величина Активов в рамках периода, за который формировалась прибыль до налогообложения * 100%;</w:t>
      </w:r>
    </w:p>
    <w:p w:rsidR="000D732C" w:rsidRDefault="000D732C" w:rsidP="000D732C">
      <w:pPr>
        <w:pStyle w:val="HTML"/>
        <w:jc w:val="center"/>
        <w:rPr>
          <w:rFonts w:ascii="Times New Roman" w:hAnsi="Times New Roman" w:cs="Times New Roman"/>
          <w:sz w:val="24"/>
          <w:szCs w:val="24"/>
        </w:rPr>
      </w:pPr>
    </w:p>
    <w:p w:rsidR="000D732C" w:rsidRDefault="000D732C" w:rsidP="000D732C">
      <w:pPr>
        <w:pStyle w:val="HTML"/>
        <w:jc w:val="center"/>
        <w:rPr>
          <w:rFonts w:ascii="Times New Roman" w:hAnsi="Times New Roman" w:cs="Times New Roman"/>
          <w:sz w:val="24"/>
          <w:szCs w:val="24"/>
        </w:rPr>
      </w:pPr>
      <w:r>
        <w:rPr>
          <w:rFonts w:ascii="Times New Roman" w:hAnsi="Times New Roman" w:cs="Times New Roman"/>
          <w:sz w:val="24"/>
          <w:szCs w:val="24"/>
        </w:rPr>
        <w:t>Ра = стр. 2200/ (стр.1600 на начало анализируемого периода + стр. 1600 на конец анализируемого периода)/2 *100%;</w:t>
      </w: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 xml:space="preserve">         Нормативное значение: 4% и более.</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При расчете «Коэффициента риска невозврата займа» таблица 4 п. 8 Методики, коэффициенту присваивается оценка в баллах:</w:t>
      </w:r>
    </w:p>
    <w:p w:rsidR="000D732C" w:rsidRDefault="000D732C" w:rsidP="000D732C">
      <w:pPr>
        <w:pStyle w:val="HTML"/>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Рск</w:t>
      </w:r>
      <w:proofErr w:type="spellEnd"/>
      <w:r>
        <w:rPr>
          <w:rFonts w:ascii="Times New Roman" w:hAnsi="Times New Roman" w:cs="Times New Roman"/>
          <w:sz w:val="24"/>
          <w:szCs w:val="24"/>
        </w:rPr>
        <w:t xml:space="preserve"> &lt;0; -1; </w:t>
      </w:r>
    </w:p>
    <w:p w:rsidR="000D732C" w:rsidRDefault="000D732C" w:rsidP="000D732C">
      <w:pPr>
        <w:pStyle w:val="HTML"/>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Рск</w:t>
      </w:r>
      <w:proofErr w:type="spellEnd"/>
      <w:r>
        <w:rPr>
          <w:rFonts w:ascii="Times New Roman" w:hAnsi="Times New Roman" w:cs="Times New Roman"/>
          <w:sz w:val="24"/>
          <w:szCs w:val="24"/>
        </w:rPr>
        <w:t xml:space="preserve"> &lt;4; 0;</w:t>
      </w:r>
    </w:p>
    <w:p w:rsidR="000D732C" w:rsidRDefault="000D732C" w:rsidP="000D732C">
      <w:pPr>
        <w:pStyle w:val="HTML"/>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Рск</w:t>
      </w:r>
      <w:proofErr w:type="spellEnd"/>
      <w:r>
        <w:rPr>
          <w:rFonts w:ascii="Times New Roman" w:hAnsi="Times New Roman" w:cs="Times New Roman"/>
          <w:sz w:val="24"/>
          <w:szCs w:val="24"/>
        </w:rPr>
        <w:t xml:space="preserve"> &gt;4; 1;</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rPr>
          <w:rFonts w:ascii="Times New Roman" w:hAnsi="Times New Roman" w:cs="Times New Roman"/>
          <w:sz w:val="24"/>
          <w:szCs w:val="24"/>
        </w:rPr>
      </w:pPr>
    </w:p>
    <w:p w:rsidR="000D732C" w:rsidRDefault="000D732C" w:rsidP="000D732C">
      <w:pPr>
        <w:pStyle w:val="HTML"/>
        <w:rPr>
          <w:rFonts w:ascii="Times New Roman" w:hAnsi="Times New Roman" w:cs="Times New Roman"/>
          <w:b/>
          <w:sz w:val="24"/>
          <w:szCs w:val="24"/>
          <w:u w:val="single"/>
        </w:rPr>
      </w:pPr>
      <w:r>
        <w:rPr>
          <w:rFonts w:ascii="Times New Roman" w:hAnsi="Times New Roman" w:cs="Times New Roman"/>
          <w:b/>
          <w:sz w:val="24"/>
          <w:szCs w:val="24"/>
          <w:u w:val="single"/>
        </w:rPr>
        <w:lastRenderedPageBreak/>
        <w:t>7.3. Рентабельность реализованной продукции по чистой прибыли (величина чистой прибыли в каждом рубле выручки)</w:t>
      </w:r>
    </w:p>
    <w:p w:rsidR="000D732C" w:rsidRDefault="000D732C" w:rsidP="000D732C">
      <w:pPr>
        <w:pStyle w:val="HTML"/>
        <w:rPr>
          <w:rFonts w:ascii="Times New Roman" w:hAnsi="Times New Roman" w:cs="Times New Roman"/>
          <w:b/>
          <w:sz w:val="24"/>
          <w:szCs w:val="24"/>
          <w:u w:val="single"/>
        </w:rPr>
      </w:pP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rPr>
        <w:t>Данный коэффициент информирует о проценте продаж, составляющем норму чистой прибыли после вычета всех затрат и уплаты налогов. Рассчитывается по формуле</w:t>
      </w:r>
      <w:proofErr w:type="gramStart"/>
      <w:r>
        <w:rPr>
          <w:rFonts w:ascii="Times New Roman" w:hAnsi="Times New Roman" w:cs="Times New Roman"/>
          <w:sz w:val="24"/>
          <w:szCs w:val="24"/>
        </w:rPr>
        <w:t>, (%):</w:t>
      </w:r>
      <w:proofErr w:type="gramEnd"/>
    </w:p>
    <w:p w:rsidR="000D732C" w:rsidRDefault="000D732C" w:rsidP="000D732C">
      <w:pPr>
        <w:pStyle w:val="HTML"/>
        <w:rPr>
          <w:rFonts w:ascii="Times New Roman" w:hAnsi="Times New Roman" w:cs="Times New Roman"/>
          <w:sz w:val="24"/>
          <w:szCs w:val="24"/>
        </w:rPr>
      </w:pPr>
    </w:p>
    <w:p w:rsidR="000D732C" w:rsidRDefault="000D732C" w:rsidP="000D732C">
      <w:pPr>
        <w:pStyle w:val="HTML"/>
        <w:jc w:val="center"/>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по ЧП = стр. 2400 / стр. 2110 * 100 %</w:t>
      </w:r>
    </w:p>
    <w:p w:rsidR="000D732C" w:rsidRDefault="000D732C" w:rsidP="000D732C">
      <w:pPr>
        <w:pStyle w:val="HTML"/>
        <w:jc w:val="center"/>
        <w:rPr>
          <w:rFonts w:ascii="Times New Roman" w:hAnsi="Times New Roman" w:cs="Times New Roman"/>
          <w:sz w:val="24"/>
          <w:szCs w:val="24"/>
        </w:rPr>
      </w:pP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rPr>
        <w:t>Усредненным показателем хорошей рентабельности признан коэффициент в пределах 20-30 %, средней – 5-20 %, низкой 1-5 %.</w:t>
      </w:r>
    </w:p>
    <w:p w:rsidR="000D732C" w:rsidRDefault="000D732C" w:rsidP="000D732C">
      <w:pPr>
        <w:pStyle w:val="HTML"/>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При расчете «Коэффициента риска невозврата займа» таблица 4 п. 8 Методики, коэффициенту присваивается оценка в баллах:</w:t>
      </w:r>
    </w:p>
    <w:p w:rsidR="000D732C" w:rsidRDefault="000D732C" w:rsidP="000D732C">
      <w:pPr>
        <w:pStyle w:val="HTML"/>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по ЧП &lt;0; -1; </w:t>
      </w:r>
    </w:p>
    <w:p w:rsidR="000D732C" w:rsidRDefault="000D732C" w:rsidP="000D732C">
      <w:pPr>
        <w:pStyle w:val="HTML"/>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по ЧП &lt;5; 0;</w:t>
      </w:r>
    </w:p>
    <w:p w:rsidR="000D732C" w:rsidRDefault="000D732C" w:rsidP="000D732C">
      <w:pPr>
        <w:pStyle w:val="HTML"/>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Если </w:t>
      </w: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по ЧП &gt;5; 1;</w:t>
      </w:r>
    </w:p>
    <w:p w:rsidR="000D732C" w:rsidRDefault="000D732C" w:rsidP="000D732C">
      <w:pPr>
        <w:pStyle w:val="HTML"/>
        <w:rPr>
          <w:rFonts w:ascii="Times New Roman" w:hAnsi="Times New Roman" w:cs="Times New Roman"/>
          <w:sz w:val="24"/>
          <w:szCs w:val="24"/>
        </w:rPr>
      </w:pPr>
    </w:p>
    <w:p w:rsidR="000D732C" w:rsidRDefault="000D732C" w:rsidP="000D732C">
      <w:pPr>
        <w:pStyle w:val="HTML"/>
        <w:jc w:val="center"/>
        <w:outlineLvl w:val="0"/>
        <w:rPr>
          <w:b/>
        </w:rPr>
      </w:pPr>
      <w:bookmarkStart w:id="55" w:name="_Toc435803499"/>
      <w:bookmarkStart w:id="56" w:name="_Toc435803472"/>
      <w:bookmarkStart w:id="57" w:name="_Toc421527211"/>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hint="eastAsia"/>
          <w:b/>
        </w:rPr>
      </w:pPr>
      <w:r>
        <w:rPr>
          <w:b/>
        </w:rPr>
        <w:t xml:space="preserve">8. Расчет </w:t>
      </w:r>
      <w:bookmarkEnd w:id="55"/>
      <w:bookmarkEnd w:id="56"/>
      <w:bookmarkEnd w:id="57"/>
      <w:r>
        <w:rPr>
          <w:b/>
        </w:rPr>
        <w:t>риска невозврата займа</w:t>
      </w: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ab/>
        <w:t xml:space="preserve">Анализ и оценка финансового положения Заемщика на основе описанных выше количественных и качественных показателей его деятельности позволяют получить интегральное значение финансового положения. Расчет производится путем умножения веса каждого из показателей на полученную оценку в баллах и дальнейшего их суммирования. </w:t>
      </w: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ab/>
        <w:t>Все анализируемые, согласно данной Методике, показатели, с учетом веса в общей рейтинговой шкале, формулами расчета, оценками в баллах и итоговыми значениями отражены в Таблице 4:</w:t>
      </w:r>
    </w:p>
    <w:p w:rsidR="000D732C" w:rsidRDefault="000D732C" w:rsidP="000D732C">
      <w:pPr>
        <w:pStyle w:val="HTML"/>
        <w:jc w:val="right"/>
        <w:rPr>
          <w:rFonts w:ascii="Times New Roman" w:hAnsi="Times New Roman" w:cs="Times New Roman"/>
          <w:i/>
          <w:sz w:val="24"/>
          <w:szCs w:val="24"/>
        </w:rPr>
      </w:pPr>
    </w:p>
    <w:p w:rsidR="000D732C" w:rsidRDefault="000D732C" w:rsidP="000D732C">
      <w:pPr>
        <w:pStyle w:val="HTML"/>
        <w:jc w:val="right"/>
        <w:rPr>
          <w:rFonts w:ascii="Times New Roman" w:hAnsi="Times New Roman" w:cs="Times New Roman"/>
          <w:i/>
          <w:sz w:val="24"/>
          <w:szCs w:val="24"/>
        </w:rPr>
      </w:pPr>
    </w:p>
    <w:p w:rsidR="000D732C" w:rsidRDefault="000D732C" w:rsidP="000D732C">
      <w:pPr>
        <w:pStyle w:val="HTML"/>
        <w:jc w:val="right"/>
        <w:rPr>
          <w:rFonts w:ascii="Times New Roman" w:hAnsi="Times New Roman" w:cs="Times New Roman"/>
          <w:i/>
          <w:sz w:val="24"/>
          <w:szCs w:val="24"/>
        </w:rPr>
      </w:pPr>
      <w:r>
        <w:rPr>
          <w:rFonts w:ascii="Times New Roman" w:hAnsi="Times New Roman" w:cs="Times New Roman"/>
          <w:i/>
          <w:sz w:val="24"/>
          <w:szCs w:val="24"/>
        </w:rPr>
        <w:t>Таблица 4</w:t>
      </w:r>
    </w:p>
    <w:p w:rsidR="000D732C" w:rsidRDefault="000D732C" w:rsidP="000D732C">
      <w:pPr>
        <w:pStyle w:val="HTML"/>
        <w:jc w:val="both"/>
        <w:rPr>
          <w:rFonts w:ascii="Times New Roman" w:hAnsi="Times New Roman" w:cs="Times New Roman"/>
          <w:b/>
          <w:sz w:val="24"/>
          <w:szCs w:val="24"/>
        </w:rPr>
      </w:pPr>
    </w:p>
    <w:tbl>
      <w:tblPr>
        <w:tblW w:w="9918" w:type="dxa"/>
        <w:tblLook w:val="00A0" w:firstRow="1" w:lastRow="0" w:firstColumn="1" w:lastColumn="0" w:noHBand="0" w:noVBand="0"/>
      </w:tblPr>
      <w:tblGrid>
        <w:gridCol w:w="1838"/>
        <w:gridCol w:w="1331"/>
        <w:gridCol w:w="1220"/>
        <w:gridCol w:w="1134"/>
        <w:gridCol w:w="1134"/>
        <w:gridCol w:w="1021"/>
        <w:gridCol w:w="1074"/>
        <w:gridCol w:w="1166"/>
      </w:tblGrid>
      <w:tr w:rsidR="000D732C" w:rsidTr="000D732C">
        <w:trPr>
          <w:trHeight w:val="510"/>
        </w:trPr>
        <w:tc>
          <w:tcPr>
            <w:tcW w:w="1838" w:type="dxa"/>
            <w:vMerge w:val="restart"/>
            <w:tcBorders>
              <w:top w:val="single" w:sz="4" w:space="0" w:color="auto"/>
              <w:left w:val="single" w:sz="4" w:space="0" w:color="auto"/>
              <w:bottom w:val="single" w:sz="4" w:space="0" w:color="000000"/>
              <w:right w:val="single" w:sz="4" w:space="0" w:color="000000"/>
            </w:tcBorders>
            <w:vAlign w:val="center"/>
            <w:hideMark/>
          </w:tcPr>
          <w:p w:rsidR="000D732C" w:rsidRDefault="000D732C">
            <w:pPr>
              <w:jc w:val="center"/>
              <w:rPr>
                <w:color w:val="000000"/>
              </w:rPr>
            </w:pPr>
            <w:r>
              <w:rPr>
                <w:color w:val="000000"/>
              </w:rPr>
              <w:t>Показатель</w:t>
            </w:r>
          </w:p>
        </w:tc>
        <w:tc>
          <w:tcPr>
            <w:tcW w:w="1331" w:type="dxa"/>
            <w:vMerge w:val="restart"/>
            <w:tcBorders>
              <w:top w:val="single" w:sz="4" w:space="0" w:color="auto"/>
              <w:left w:val="single" w:sz="4" w:space="0" w:color="000000"/>
              <w:bottom w:val="single" w:sz="4" w:space="0" w:color="000000"/>
              <w:right w:val="single" w:sz="4" w:space="0" w:color="000000"/>
            </w:tcBorders>
            <w:vAlign w:val="center"/>
            <w:hideMark/>
          </w:tcPr>
          <w:p w:rsidR="000D732C" w:rsidRDefault="000D732C">
            <w:pPr>
              <w:jc w:val="center"/>
              <w:rPr>
                <w:color w:val="000000"/>
              </w:rPr>
            </w:pPr>
            <w:r>
              <w:rPr>
                <w:color w:val="000000"/>
              </w:rPr>
              <w:t>Вес показателя</w:t>
            </w:r>
          </w:p>
        </w:tc>
        <w:tc>
          <w:tcPr>
            <w:tcW w:w="2354" w:type="dxa"/>
            <w:gridSpan w:val="2"/>
            <w:tcBorders>
              <w:top w:val="single" w:sz="4" w:space="0" w:color="auto"/>
              <w:left w:val="single" w:sz="4" w:space="0" w:color="000000"/>
              <w:bottom w:val="nil"/>
              <w:right w:val="single" w:sz="4" w:space="0" w:color="000000"/>
            </w:tcBorders>
            <w:vAlign w:val="center"/>
            <w:hideMark/>
          </w:tcPr>
          <w:p w:rsidR="000D732C" w:rsidRDefault="000D732C">
            <w:pPr>
              <w:jc w:val="center"/>
              <w:rPr>
                <w:color w:val="000000"/>
              </w:rPr>
            </w:pPr>
            <w:r>
              <w:rPr>
                <w:color w:val="000000"/>
              </w:rPr>
              <w:t>Показатели        (расчет коэффициента)</w:t>
            </w:r>
          </w:p>
        </w:tc>
        <w:tc>
          <w:tcPr>
            <w:tcW w:w="2155" w:type="dxa"/>
            <w:gridSpan w:val="2"/>
            <w:tcBorders>
              <w:top w:val="single" w:sz="4" w:space="0" w:color="auto"/>
              <w:left w:val="nil"/>
              <w:bottom w:val="single" w:sz="4" w:space="0" w:color="000000"/>
              <w:right w:val="nil"/>
            </w:tcBorders>
            <w:vAlign w:val="center"/>
            <w:hideMark/>
          </w:tcPr>
          <w:p w:rsidR="000D732C" w:rsidRDefault="000D732C">
            <w:pPr>
              <w:jc w:val="center"/>
              <w:rPr>
                <w:color w:val="000000"/>
              </w:rPr>
            </w:pPr>
            <w:r>
              <w:rPr>
                <w:color w:val="000000"/>
              </w:rPr>
              <w:t>Оценка (балл, присвоенный при расчете коэффициента)</w:t>
            </w:r>
          </w:p>
        </w:tc>
        <w:tc>
          <w:tcPr>
            <w:tcW w:w="1074" w:type="dxa"/>
            <w:tcBorders>
              <w:top w:val="single" w:sz="4" w:space="0" w:color="000000"/>
              <w:left w:val="single" w:sz="4" w:space="0" w:color="000000"/>
              <w:bottom w:val="nil"/>
              <w:right w:val="single" w:sz="4" w:space="0" w:color="000000"/>
            </w:tcBorders>
            <w:vAlign w:val="center"/>
            <w:hideMark/>
          </w:tcPr>
          <w:p w:rsidR="000D732C" w:rsidRDefault="000D732C">
            <w:pPr>
              <w:jc w:val="center"/>
              <w:rPr>
                <w:color w:val="000000"/>
              </w:rPr>
            </w:pPr>
            <w:r>
              <w:rPr>
                <w:color w:val="000000"/>
              </w:rPr>
              <w:t>Средняя оценка</w:t>
            </w:r>
          </w:p>
          <w:p w:rsidR="000D732C" w:rsidRDefault="000D732C">
            <w:pPr>
              <w:jc w:val="center"/>
              <w:rPr>
                <w:color w:val="000000"/>
              </w:rPr>
            </w:pPr>
            <w:r>
              <w:rPr>
                <w:color w:val="000000"/>
              </w:rPr>
              <w:t>По (5) и (6)</w:t>
            </w:r>
          </w:p>
        </w:tc>
        <w:tc>
          <w:tcPr>
            <w:tcW w:w="1166" w:type="dxa"/>
            <w:tcBorders>
              <w:top w:val="single" w:sz="4" w:space="0" w:color="000000"/>
              <w:left w:val="nil"/>
              <w:bottom w:val="nil"/>
              <w:right w:val="single" w:sz="4" w:space="0" w:color="auto"/>
            </w:tcBorders>
            <w:vAlign w:val="center"/>
            <w:hideMark/>
          </w:tcPr>
          <w:p w:rsidR="000D732C" w:rsidRDefault="000D732C">
            <w:pPr>
              <w:jc w:val="center"/>
              <w:rPr>
                <w:color w:val="000000"/>
              </w:rPr>
            </w:pPr>
            <w:r>
              <w:rPr>
                <w:color w:val="000000"/>
              </w:rPr>
              <w:t>Оценка с учетом веса</w:t>
            </w:r>
          </w:p>
          <w:p w:rsidR="000D732C" w:rsidRDefault="000D732C">
            <w:pPr>
              <w:jc w:val="center"/>
              <w:rPr>
                <w:color w:val="000000"/>
              </w:rPr>
            </w:pPr>
            <w:r>
              <w:rPr>
                <w:color w:val="000000"/>
              </w:rPr>
              <w:t xml:space="preserve">(2) х (7) </w:t>
            </w:r>
          </w:p>
        </w:tc>
      </w:tr>
      <w:tr w:rsidR="000D732C" w:rsidTr="000D732C">
        <w:trPr>
          <w:trHeight w:val="73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0D732C" w:rsidRDefault="000D732C">
            <w:pPr>
              <w:rPr>
                <w:color w:val="000000"/>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0D732C" w:rsidRDefault="000D732C">
            <w:pPr>
              <w:rPr>
                <w:color w:val="000000"/>
              </w:rPr>
            </w:pPr>
          </w:p>
        </w:tc>
        <w:tc>
          <w:tcPr>
            <w:tcW w:w="1220" w:type="dxa"/>
            <w:tcBorders>
              <w:top w:val="single" w:sz="4" w:space="0" w:color="auto"/>
              <w:left w:val="single" w:sz="4" w:space="0" w:color="auto"/>
              <w:bottom w:val="single" w:sz="4" w:space="0" w:color="auto"/>
              <w:right w:val="single" w:sz="4" w:space="0" w:color="auto"/>
            </w:tcBorders>
            <w:vAlign w:val="center"/>
            <w:hideMark/>
          </w:tcPr>
          <w:p w:rsidR="000D732C" w:rsidRDefault="000D732C">
            <w:pPr>
              <w:jc w:val="center"/>
              <w:rPr>
                <w:color w:val="000000"/>
              </w:rPr>
            </w:pPr>
            <w:r>
              <w:rPr>
                <w:color w:val="000000"/>
              </w:rPr>
              <w:t>31 декабря 2018г.</w:t>
            </w:r>
          </w:p>
        </w:tc>
        <w:tc>
          <w:tcPr>
            <w:tcW w:w="1134" w:type="dxa"/>
            <w:tcBorders>
              <w:top w:val="single" w:sz="4" w:space="0" w:color="auto"/>
              <w:left w:val="nil"/>
              <w:bottom w:val="single" w:sz="4" w:space="0" w:color="auto"/>
              <w:right w:val="single" w:sz="4" w:space="0" w:color="auto"/>
            </w:tcBorders>
            <w:vAlign w:val="center"/>
            <w:hideMark/>
          </w:tcPr>
          <w:p w:rsidR="000D732C" w:rsidRDefault="000D732C">
            <w:pPr>
              <w:jc w:val="center"/>
              <w:rPr>
                <w:color w:val="000000"/>
              </w:rPr>
            </w:pPr>
            <w:r>
              <w:rPr>
                <w:color w:val="000000"/>
              </w:rPr>
              <w:t>31 декабря 2019г.</w:t>
            </w:r>
          </w:p>
        </w:tc>
        <w:tc>
          <w:tcPr>
            <w:tcW w:w="1134" w:type="dxa"/>
            <w:tcBorders>
              <w:top w:val="nil"/>
              <w:left w:val="nil"/>
              <w:bottom w:val="single" w:sz="4" w:space="0" w:color="000000"/>
              <w:right w:val="single" w:sz="4" w:space="0" w:color="000000"/>
            </w:tcBorders>
            <w:vAlign w:val="center"/>
            <w:hideMark/>
          </w:tcPr>
          <w:p w:rsidR="000D732C" w:rsidRDefault="000D732C">
            <w:pPr>
              <w:jc w:val="center"/>
              <w:rPr>
                <w:color w:val="000000"/>
              </w:rPr>
            </w:pPr>
            <w:r>
              <w:rPr>
                <w:color w:val="000000"/>
              </w:rPr>
              <w:t>31 декабря 2018г.</w:t>
            </w:r>
          </w:p>
        </w:tc>
        <w:tc>
          <w:tcPr>
            <w:tcW w:w="1021" w:type="dxa"/>
            <w:tcBorders>
              <w:top w:val="nil"/>
              <w:left w:val="nil"/>
              <w:bottom w:val="single" w:sz="4" w:space="0" w:color="000000"/>
              <w:right w:val="single" w:sz="4" w:space="0" w:color="000000"/>
            </w:tcBorders>
            <w:vAlign w:val="center"/>
            <w:hideMark/>
          </w:tcPr>
          <w:p w:rsidR="000D732C" w:rsidRDefault="000D732C">
            <w:pPr>
              <w:jc w:val="center"/>
              <w:rPr>
                <w:color w:val="000000"/>
              </w:rPr>
            </w:pPr>
            <w:r>
              <w:rPr>
                <w:color w:val="000000"/>
              </w:rPr>
              <w:t>31 декабря 2019г.</w:t>
            </w:r>
          </w:p>
        </w:tc>
        <w:tc>
          <w:tcPr>
            <w:tcW w:w="1074" w:type="dxa"/>
            <w:tcBorders>
              <w:top w:val="nil"/>
              <w:left w:val="nil"/>
              <w:bottom w:val="single" w:sz="4" w:space="0" w:color="000000"/>
              <w:right w:val="single" w:sz="4" w:space="0" w:color="000000"/>
            </w:tcBorders>
            <w:vAlign w:val="center"/>
            <w:hideMark/>
          </w:tcPr>
          <w:p w:rsidR="000D732C" w:rsidRDefault="000D732C">
            <w:pPr>
              <w:jc w:val="center"/>
              <w:rPr>
                <w:color w:val="000000"/>
              </w:rPr>
            </w:pPr>
            <w:r>
              <w:rPr>
                <w:color w:val="000000"/>
              </w:rPr>
              <w:t> </w:t>
            </w:r>
          </w:p>
        </w:tc>
        <w:tc>
          <w:tcPr>
            <w:tcW w:w="1166" w:type="dxa"/>
            <w:tcBorders>
              <w:top w:val="nil"/>
              <w:left w:val="nil"/>
              <w:bottom w:val="single" w:sz="4" w:space="0" w:color="000000"/>
              <w:right w:val="single" w:sz="4" w:space="0" w:color="auto"/>
            </w:tcBorders>
            <w:vAlign w:val="center"/>
            <w:hideMark/>
          </w:tcPr>
          <w:p w:rsidR="000D732C" w:rsidRDefault="000D732C">
            <w:pPr>
              <w:jc w:val="center"/>
              <w:rPr>
                <w:color w:val="000000"/>
              </w:rPr>
            </w:pPr>
            <w:r>
              <w:rPr>
                <w:color w:val="000000"/>
              </w:rPr>
              <w:t> </w:t>
            </w:r>
          </w:p>
        </w:tc>
      </w:tr>
      <w:tr w:rsidR="000D732C" w:rsidTr="000D732C">
        <w:trPr>
          <w:trHeight w:val="735"/>
        </w:trPr>
        <w:tc>
          <w:tcPr>
            <w:tcW w:w="1838" w:type="dxa"/>
            <w:tcBorders>
              <w:top w:val="single" w:sz="4" w:space="0" w:color="auto"/>
              <w:left w:val="single" w:sz="4" w:space="0" w:color="auto"/>
              <w:bottom w:val="single" w:sz="4" w:space="0" w:color="000000"/>
              <w:right w:val="single" w:sz="4" w:space="0" w:color="000000"/>
            </w:tcBorders>
            <w:vAlign w:val="center"/>
            <w:hideMark/>
          </w:tcPr>
          <w:p w:rsidR="000D732C" w:rsidRDefault="000D732C">
            <w:pPr>
              <w:jc w:val="center"/>
              <w:rPr>
                <w:color w:val="000000"/>
              </w:rPr>
            </w:pPr>
            <w:r>
              <w:rPr>
                <w:color w:val="000000"/>
              </w:rPr>
              <w:t>1</w:t>
            </w:r>
          </w:p>
        </w:tc>
        <w:tc>
          <w:tcPr>
            <w:tcW w:w="1331" w:type="dxa"/>
            <w:tcBorders>
              <w:top w:val="single" w:sz="4" w:space="0" w:color="auto"/>
              <w:left w:val="single" w:sz="4" w:space="0" w:color="000000"/>
              <w:bottom w:val="single" w:sz="4" w:space="0" w:color="000000"/>
              <w:right w:val="single" w:sz="4" w:space="0" w:color="000000"/>
            </w:tcBorders>
            <w:vAlign w:val="center"/>
            <w:hideMark/>
          </w:tcPr>
          <w:p w:rsidR="000D732C" w:rsidRDefault="000D732C">
            <w:pPr>
              <w:jc w:val="center"/>
              <w:rPr>
                <w:color w:val="000000"/>
              </w:rPr>
            </w:pPr>
            <w:r>
              <w:rPr>
                <w:color w:val="000000"/>
              </w:rPr>
              <w:t>2</w:t>
            </w:r>
          </w:p>
        </w:tc>
        <w:tc>
          <w:tcPr>
            <w:tcW w:w="1220" w:type="dxa"/>
            <w:tcBorders>
              <w:top w:val="single" w:sz="4" w:space="0" w:color="auto"/>
              <w:left w:val="single" w:sz="4" w:space="0" w:color="auto"/>
              <w:bottom w:val="single" w:sz="4" w:space="0" w:color="auto"/>
              <w:right w:val="single" w:sz="4" w:space="0" w:color="auto"/>
            </w:tcBorders>
            <w:vAlign w:val="center"/>
            <w:hideMark/>
          </w:tcPr>
          <w:p w:rsidR="000D732C" w:rsidRDefault="000D732C">
            <w:pPr>
              <w:jc w:val="center"/>
              <w:rPr>
                <w:color w:val="000000"/>
              </w:rPr>
            </w:pPr>
            <w:r>
              <w:rPr>
                <w:color w:val="000000"/>
              </w:rPr>
              <w:t>3</w:t>
            </w:r>
          </w:p>
        </w:tc>
        <w:tc>
          <w:tcPr>
            <w:tcW w:w="1134" w:type="dxa"/>
            <w:tcBorders>
              <w:top w:val="single" w:sz="4" w:space="0" w:color="auto"/>
              <w:left w:val="nil"/>
              <w:bottom w:val="single" w:sz="4" w:space="0" w:color="auto"/>
              <w:right w:val="single" w:sz="4" w:space="0" w:color="auto"/>
            </w:tcBorders>
            <w:vAlign w:val="center"/>
            <w:hideMark/>
          </w:tcPr>
          <w:p w:rsidR="000D732C" w:rsidRDefault="000D732C">
            <w:pPr>
              <w:jc w:val="center"/>
              <w:rPr>
                <w:color w:val="000000"/>
              </w:rPr>
            </w:pPr>
            <w:r>
              <w:rPr>
                <w:color w:val="000000"/>
              </w:rPr>
              <w:t>4</w:t>
            </w:r>
          </w:p>
        </w:tc>
        <w:tc>
          <w:tcPr>
            <w:tcW w:w="1134" w:type="dxa"/>
            <w:tcBorders>
              <w:top w:val="nil"/>
              <w:left w:val="nil"/>
              <w:bottom w:val="single" w:sz="4" w:space="0" w:color="000000"/>
              <w:right w:val="single" w:sz="4" w:space="0" w:color="000000"/>
            </w:tcBorders>
            <w:vAlign w:val="center"/>
            <w:hideMark/>
          </w:tcPr>
          <w:p w:rsidR="000D732C" w:rsidRDefault="000D732C">
            <w:pPr>
              <w:jc w:val="center"/>
            </w:pPr>
            <w:r>
              <w:t>5</w:t>
            </w:r>
          </w:p>
        </w:tc>
        <w:tc>
          <w:tcPr>
            <w:tcW w:w="1021" w:type="dxa"/>
            <w:tcBorders>
              <w:top w:val="nil"/>
              <w:left w:val="nil"/>
              <w:bottom w:val="single" w:sz="4" w:space="0" w:color="000000"/>
              <w:right w:val="single" w:sz="4" w:space="0" w:color="000000"/>
            </w:tcBorders>
            <w:vAlign w:val="center"/>
            <w:hideMark/>
          </w:tcPr>
          <w:p w:rsidR="000D732C" w:rsidRDefault="000D732C">
            <w:pPr>
              <w:jc w:val="center"/>
            </w:pPr>
            <w:r>
              <w:t>6</w:t>
            </w:r>
          </w:p>
        </w:tc>
        <w:tc>
          <w:tcPr>
            <w:tcW w:w="1074" w:type="dxa"/>
            <w:tcBorders>
              <w:top w:val="nil"/>
              <w:left w:val="nil"/>
              <w:bottom w:val="single" w:sz="4" w:space="0" w:color="000000"/>
              <w:right w:val="single" w:sz="4" w:space="0" w:color="000000"/>
            </w:tcBorders>
            <w:vAlign w:val="center"/>
            <w:hideMark/>
          </w:tcPr>
          <w:p w:rsidR="000D732C" w:rsidRDefault="000D732C">
            <w:pPr>
              <w:jc w:val="center"/>
            </w:pPr>
            <w:r>
              <w:t>7</w:t>
            </w:r>
          </w:p>
        </w:tc>
        <w:tc>
          <w:tcPr>
            <w:tcW w:w="1166" w:type="dxa"/>
            <w:tcBorders>
              <w:top w:val="nil"/>
              <w:left w:val="nil"/>
              <w:bottom w:val="single" w:sz="4" w:space="0" w:color="000000"/>
              <w:right w:val="single" w:sz="4" w:space="0" w:color="auto"/>
            </w:tcBorders>
            <w:vAlign w:val="center"/>
            <w:hideMark/>
          </w:tcPr>
          <w:p w:rsidR="000D732C" w:rsidRDefault="000D732C">
            <w:pPr>
              <w:jc w:val="center"/>
            </w:pPr>
            <w:r>
              <w:t>8</w:t>
            </w:r>
          </w:p>
        </w:tc>
      </w:tr>
      <w:tr w:rsidR="000D732C" w:rsidTr="000D732C">
        <w:trPr>
          <w:trHeight w:val="510"/>
        </w:trPr>
        <w:tc>
          <w:tcPr>
            <w:tcW w:w="1838" w:type="dxa"/>
            <w:tcBorders>
              <w:top w:val="nil"/>
              <w:left w:val="single" w:sz="4" w:space="0" w:color="auto"/>
              <w:bottom w:val="single" w:sz="4" w:space="0" w:color="000000"/>
              <w:right w:val="single" w:sz="4" w:space="0" w:color="000000"/>
            </w:tcBorders>
            <w:vAlign w:val="center"/>
            <w:hideMark/>
          </w:tcPr>
          <w:p w:rsidR="000D732C" w:rsidRDefault="000D732C">
            <w:pPr>
              <w:rPr>
                <w:color w:val="000000"/>
              </w:rPr>
            </w:pPr>
            <w:r>
              <w:rPr>
                <w:color w:val="000000"/>
              </w:rPr>
              <w:t>Рентабельность реализованной продукции по чистой прибыли</w:t>
            </w:r>
          </w:p>
        </w:tc>
        <w:tc>
          <w:tcPr>
            <w:tcW w:w="1331" w:type="dxa"/>
            <w:tcBorders>
              <w:top w:val="nil"/>
              <w:left w:val="nil"/>
              <w:bottom w:val="single" w:sz="4" w:space="0" w:color="000000"/>
              <w:right w:val="single" w:sz="4" w:space="0" w:color="000000"/>
            </w:tcBorders>
            <w:vAlign w:val="center"/>
            <w:hideMark/>
          </w:tcPr>
          <w:p w:rsidR="000D732C" w:rsidRDefault="000D732C">
            <w:pPr>
              <w:jc w:val="center"/>
              <w:rPr>
                <w:color w:val="000000"/>
              </w:rPr>
            </w:pPr>
            <w:r>
              <w:rPr>
                <w:color w:val="000000"/>
              </w:rPr>
              <w:t>0,15</w:t>
            </w:r>
          </w:p>
        </w:tc>
        <w:tc>
          <w:tcPr>
            <w:tcW w:w="1220" w:type="dxa"/>
            <w:tcBorders>
              <w:top w:val="nil"/>
              <w:left w:val="nil"/>
              <w:bottom w:val="single" w:sz="4" w:space="0" w:color="000000"/>
              <w:right w:val="single" w:sz="4" w:space="0" w:color="000000"/>
            </w:tcBorders>
            <w:vAlign w:val="center"/>
          </w:tcPr>
          <w:p w:rsidR="000D732C" w:rsidRDefault="000D732C">
            <w:pPr>
              <w:jc w:val="center"/>
              <w:rPr>
                <w:color w:val="000000"/>
              </w:rPr>
            </w:pPr>
          </w:p>
        </w:tc>
        <w:tc>
          <w:tcPr>
            <w:tcW w:w="1134" w:type="dxa"/>
            <w:tcBorders>
              <w:top w:val="nil"/>
              <w:left w:val="nil"/>
              <w:bottom w:val="single" w:sz="4" w:space="0" w:color="000000"/>
              <w:right w:val="single" w:sz="4" w:space="0" w:color="000000"/>
            </w:tcBorders>
            <w:vAlign w:val="center"/>
          </w:tcPr>
          <w:p w:rsidR="000D732C" w:rsidRDefault="000D732C">
            <w:pPr>
              <w:jc w:val="center"/>
              <w:rPr>
                <w:color w:val="000000"/>
              </w:rPr>
            </w:pPr>
          </w:p>
        </w:tc>
        <w:tc>
          <w:tcPr>
            <w:tcW w:w="1134" w:type="dxa"/>
            <w:tcBorders>
              <w:top w:val="nil"/>
              <w:left w:val="nil"/>
              <w:bottom w:val="single" w:sz="4" w:space="0" w:color="000000"/>
              <w:right w:val="single" w:sz="4" w:space="0" w:color="000000"/>
            </w:tcBorders>
            <w:vAlign w:val="center"/>
          </w:tcPr>
          <w:p w:rsidR="000D732C" w:rsidRDefault="000D732C">
            <w:pPr>
              <w:jc w:val="center"/>
            </w:pPr>
          </w:p>
        </w:tc>
        <w:tc>
          <w:tcPr>
            <w:tcW w:w="1021" w:type="dxa"/>
            <w:tcBorders>
              <w:top w:val="nil"/>
              <w:left w:val="nil"/>
              <w:bottom w:val="single" w:sz="4" w:space="0" w:color="000000"/>
              <w:right w:val="single" w:sz="4" w:space="0" w:color="000000"/>
            </w:tcBorders>
            <w:vAlign w:val="center"/>
          </w:tcPr>
          <w:p w:rsidR="000D732C" w:rsidRDefault="000D732C">
            <w:pPr>
              <w:jc w:val="center"/>
            </w:pPr>
          </w:p>
        </w:tc>
        <w:tc>
          <w:tcPr>
            <w:tcW w:w="1074" w:type="dxa"/>
            <w:tcBorders>
              <w:top w:val="nil"/>
              <w:left w:val="nil"/>
              <w:bottom w:val="single" w:sz="4" w:space="0" w:color="000000"/>
              <w:right w:val="single" w:sz="4" w:space="0" w:color="000000"/>
            </w:tcBorders>
            <w:vAlign w:val="center"/>
          </w:tcPr>
          <w:p w:rsidR="000D732C" w:rsidRDefault="000D732C">
            <w:pPr>
              <w:jc w:val="center"/>
            </w:pPr>
          </w:p>
        </w:tc>
        <w:tc>
          <w:tcPr>
            <w:tcW w:w="1166" w:type="dxa"/>
            <w:tcBorders>
              <w:top w:val="nil"/>
              <w:left w:val="nil"/>
              <w:bottom w:val="single" w:sz="4" w:space="0" w:color="000000"/>
              <w:right w:val="single" w:sz="4" w:space="0" w:color="auto"/>
            </w:tcBorders>
            <w:vAlign w:val="center"/>
          </w:tcPr>
          <w:p w:rsidR="000D732C" w:rsidRDefault="000D732C">
            <w:pPr>
              <w:jc w:val="center"/>
            </w:pPr>
          </w:p>
        </w:tc>
      </w:tr>
      <w:tr w:rsidR="000D732C" w:rsidTr="000D732C">
        <w:trPr>
          <w:trHeight w:val="585"/>
        </w:trPr>
        <w:tc>
          <w:tcPr>
            <w:tcW w:w="1838" w:type="dxa"/>
            <w:tcBorders>
              <w:top w:val="nil"/>
              <w:left w:val="single" w:sz="4" w:space="0" w:color="auto"/>
              <w:bottom w:val="single" w:sz="4" w:space="0" w:color="000000"/>
              <w:right w:val="single" w:sz="4" w:space="0" w:color="000000"/>
            </w:tcBorders>
            <w:vAlign w:val="center"/>
            <w:hideMark/>
          </w:tcPr>
          <w:p w:rsidR="000D732C" w:rsidRDefault="000D732C">
            <w:pPr>
              <w:rPr>
                <w:color w:val="000000"/>
              </w:rPr>
            </w:pPr>
            <w:r>
              <w:rPr>
                <w:color w:val="000000"/>
              </w:rPr>
              <w:t>Рентабельность активов</w:t>
            </w:r>
          </w:p>
        </w:tc>
        <w:tc>
          <w:tcPr>
            <w:tcW w:w="1331" w:type="dxa"/>
            <w:tcBorders>
              <w:top w:val="nil"/>
              <w:left w:val="nil"/>
              <w:bottom w:val="single" w:sz="4" w:space="0" w:color="000000"/>
              <w:right w:val="single" w:sz="4" w:space="0" w:color="000000"/>
            </w:tcBorders>
            <w:vAlign w:val="center"/>
            <w:hideMark/>
          </w:tcPr>
          <w:p w:rsidR="000D732C" w:rsidRDefault="000D732C">
            <w:pPr>
              <w:jc w:val="center"/>
              <w:rPr>
                <w:color w:val="000000"/>
              </w:rPr>
            </w:pPr>
            <w:r>
              <w:rPr>
                <w:color w:val="000000"/>
              </w:rPr>
              <w:t>0,15</w:t>
            </w:r>
          </w:p>
        </w:tc>
        <w:tc>
          <w:tcPr>
            <w:tcW w:w="1220" w:type="dxa"/>
            <w:tcBorders>
              <w:top w:val="nil"/>
              <w:left w:val="nil"/>
              <w:bottom w:val="single" w:sz="4" w:space="0" w:color="000000"/>
              <w:right w:val="single" w:sz="4" w:space="0" w:color="000000"/>
            </w:tcBorders>
            <w:vAlign w:val="center"/>
          </w:tcPr>
          <w:p w:rsidR="000D732C" w:rsidRDefault="000D732C">
            <w:pPr>
              <w:jc w:val="center"/>
              <w:rPr>
                <w:color w:val="000000"/>
              </w:rPr>
            </w:pPr>
          </w:p>
        </w:tc>
        <w:tc>
          <w:tcPr>
            <w:tcW w:w="1134" w:type="dxa"/>
            <w:tcBorders>
              <w:top w:val="nil"/>
              <w:left w:val="nil"/>
              <w:bottom w:val="single" w:sz="4" w:space="0" w:color="000000"/>
              <w:right w:val="single" w:sz="4" w:space="0" w:color="000000"/>
            </w:tcBorders>
            <w:vAlign w:val="center"/>
          </w:tcPr>
          <w:p w:rsidR="000D732C" w:rsidRDefault="000D732C">
            <w:pPr>
              <w:jc w:val="center"/>
              <w:rPr>
                <w:color w:val="000000"/>
              </w:rPr>
            </w:pPr>
          </w:p>
        </w:tc>
        <w:tc>
          <w:tcPr>
            <w:tcW w:w="1134" w:type="dxa"/>
            <w:tcBorders>
              <w:top w:val="nil"/>
              <w:left w:val="nil"/>
              <w:bottom w:val="single" w:sz="4" w:space="0" w:color="000000"/>
              <w:right w:val="single" w:sz="4" w:space="0" w:color="000000"/>
            </w:tcBorders>
            <w:vAlign w:val="center"/>
          </w:tcPr>
          <w:p w:rsidR="000D732C" w:rsidRDefault="000D732C">
            <w:pPr>
              <w:jc w:val="center"/>
            </w:pPr>
          </w:p>
        </w:tc>
        <w:tc>
          <w:tcPr>
            <w:tcW w:w="1021" w:type="dxa"/>
            <w:tcBorders>
              <w:top w:val="nil"/>
              <w:left w:val="nil"/>
              <w:bottom w:val="single" w:sz="4" w:space="0" w:color="000000"/>
              <w:right w:val="single" w:sz="4" w:space="0" w:color="000000"/>
            </w:tcBorders>
            <w:vAlign w:val="center"/>
          </w:tcPr>
          <w:p w:rsidR="000D732C" w:rsidRDefault="000D732C">
            <w:pPr>
              <w:jc w:val="center"/>
            </w:pPr>
          </w:p>
        </w:tc>
        <w:tc>
          <w:tcPr>
            <w:tcW w:w="1074" w:type="dxa"/>
            <w:tcBorders>
              <w:top w:val="nil"/>
              <w:left w:val="nil"/>
              <w:bottom w:val="single" w:sz="4" w:space="0" w:color="000000"/>
              <w:right w:val="single" w:sz="4" w:space="0" w:color="000000"/>
            </w:tcBorders>
            <w:vAlign w:val="center"/>
          </w:tcPr>
          <w:p w:rsidR="000D732C" w:rsidRDefault="000D732C">
            <w:pPr>
              <w:jc w:val="center"/>
            </w:pPr>
          </w:p>
        </w:tc>
        <w:tc>
          <w:tcPr>
            <w:tcW w:w="1166" w:type="dxa"/>
            <w:tcBorders>
              <w:top w:val="nil"/>
              <w:left w:val="nil"/>
              <w:bottom w:val="single" w:sz="4" w:space="0" w:color="000000"/>
              <w:right w:val="single" w:sz="4" w:space="0" w:color="auto"/>
            </w:tcBorders>
            <w:vAlign w:val="center"/>
          </w:tcPr>
          <w:p w:rsidR="000D732C" w:rsidRDefault="000D732C">
            <w:pPr>
              <w:jc w:val="center"/>
            </w:pPr>
          </w:p>
        </w:tc>
      </w:tr>
      <w:tr w:rsidR="000D732C" w:rsidTr="000D732C">
        <w:trPr>
          <w:trHeight w:val="300"/>
        </w:trPr>
        <w:tc>
          <w:tcPr>
            <w:tcW w:w="1838" w:type="dxa"/>
            <w:tcBorders>
              <w:top w:val="nil"/>
              <w:left w:val="single" w:sz="4" w:space="0" w:color="auto"/>
              <w:bottom w:val="single" w:sz="4" w:space="0" w:color="000000"/>
              <w:right w:val="single" w:sz="4" w:space="0" w:color="000000"/>
            </w:tcBorders>
            <w:vAlign w:val="center"/>
            <w:hideMark/>
          </w:tcPr>
          <w:p w:rsidR="000D732C" w:rsidRDefault="000D732C">
            <w:pPr>
              <w:rPr>
                <w:color w:val="000000"/>
              </w:rPr>
            </w:pPr>
            <w:r>
              <w:rPr>
                <w:color w:val="000000"/>
              </w:rPr>
              <w:t>Финансовая автономия</w:t>
            </w:r>
          </w:p>
        </w:tc>
        <w:tc>
          <w:tcPr>
            <w:tcW w:w="1331" w:type="dxa"/>
            <w:tcBorders>
              <w:top w:val="nil"/>
              <w:left w:val="nil"/>
              <w:bottom w:val="single" w:sz="4" w:space="0" w:color="000000"/>
              <w:right w:val="single" w:sz="4" w:space="0" w:color="000000"/>
            </w:tcBorders>
            <w:vAlign w:val="center"/>
            <w:hideMark/>
          </w:tcPr>
          <w:p w:rsidR="000D732C" w:rsidRDefault="000D732C">
            <w:pPr>
              <w:jc w:val="center"/>
              <w:rPr>
                <w:color w:val="000000"/>
              </w:rPr>
            </w:pPr>
            <w:r>
              <w:rPr>
                <w:color w:val="000000"/>
              </w:rPr>
              <w:t>0,1</w:t>
            </w:r>
          </w:p>
        </w:tc>
        <w:tc>
          <w:tcPr>
            <w:tcW w:w="1220" w:type="dxa"/>
            <w:tcBorders>
              <w:top w:val="nil"/>
              <w:left w:val="nil"/>
              <w:bottom w:val="single" w:sz="4" w:space="0" w:color="000000"/>
              <w:right w:val="single" w:sz="4" w:space="0" w:color="000000"/>
            </w:tcBorders>
            <w:vAlign w:val="center"/>
          </w:tcPr>
          <w:p w:rsidR="000D732C" w:rsidRDefault="000D732C">
            <w:pPr>
              <w:jc w:val="center"/>
              <w:rPr>
                <w:color w:val="000000"/>
              </w:rPr>
            </w:pPr>
          </w:p>
        </w:tc>
        <w:tc>
          <w:tcPr>
            <w:tcW w:w="1134" w:type="dxa"/>
            <w:tcBorders>
              <w:top w:val="nil"/>
              <w:left w:val="nil"/>
              <w:bottom w:val="single" w:sz="4" w:space="0" w:color="000000"/>
              <w:right w:val="single" w:sz="4" w:space="0" w:color="000000"/>
            </w:tcBorders>
            <w:vAlign w:val="center"/>
          </w:tcPr>
          <w:p w:rsidR="000D732C" w:rsidRDefault="000D732C">
            <w:pPr>
              <w:jc w:val="center"/>
              <w:rPr>
                <w:color w:val="000000"/>
              </w:rPr>
            </w:pPr>
          </w:p>
        </w:tc>
        <w:tc>
          <w:tcPr>
            <w:tcW w:w="1134" w:type="dxa"/>
            <w:tcBorders>
              <w:top w:val="nil"/>
              <w:left w:val="nil"/>
              <w:bottom w:val="single" w:sz="4" w:space="0" w:color="000000"/>
              <w:right w:val="single" w:sz="4" w:space="0" w:color="000000"/>
            </w:tcBorders>
            <w:vAlign w:val="center"/>
          </w:tcPr>
          <w:p w:rsidR="000D732C" w:rsidRDefault="000D732C">
            <w:pPr>
              <w:jc w:val="center"/>
            </w:pPr>
          </w:p>
        </w:tc>
        <w:tc>
          <w:tcPr>
            <w:tcW w:w="1021" w:type="dxa"/>
            <w:tcBorders>
              <w:top w:val="nil"/>
              <w:left w:val="nil"/>
              <w:bottom w:val="single" w:sz="4" w:space="0" w:color="000000"/>
              <w:right w:val="single" w:sz="4" w:space="0" w:color="000000"/>
            </w:tcBorders>
            <w:vAlign w:val="center"/>
          </w:tcPr>
          <w:p w:rsidR="000D732C" w:rsidRDefault="000D732C">
            <w:pPr>
              <w:jc w:val="center"/>
            </w:pPr>
          </w:p>
        </w:tc>
        <w:tc>
          <w:tcPr>
            <w:tcW w:w="1074" w:type="dxa"/>
            <w:tcBorders>
              <w:top w:val="nil"/>
              <w:left w:val="nil"/>
              <w:bottom w:val="single" w:sz="4" w:space="0" w:color="000000"/>
              <w:right w:val="single" w:sz="4" w:space="0" w:color="000000"/>
            </w:tcBorders>
            <w:vAlign w:val="center"/>
          </w:tcPr>
          <w:p w:rsidR="000D732C" w:rsidRDefault="000D732C">
            <w:pPr>
              <w:jc w:val="center"/>
            </w:pPr>
          </w:p>
        </w:tc>
        <w:tc>
          <w:tcPr>
            <w:tcW w:w="1166" w:type="dxa"/>
            <w:tcBorders>
              <w:top w:val="nil"/>
              <w:left w:val="nil"/>
              <w:bottom w:val="single" w:sz="4" w:space="0" w:color="000000"/>
              <w:right w:val="single" w:sz="4" w:space="0" w:color="auto"/>
            </w:tcBorders>
            <w:vAlign w:val="center"/>
          </w:tcPr>
          <w:p w:rsidR="000D732C" w:rsidRDefault="000D732C">
            <w:pPr>
              <w:jc w:val="center"/>
            </w:pPr>
          </w:p>
        </w:tc>
      </w:tr>
      <w:tr w:rsidR="000D732C" w:rsidTr="000D732C">
        <w:trPr>
          <w:trHeight w:val="300"/>
        </w:trPr>
        <w:tc>
          <w:tcPr>
            <w:tcW w:w="1838" w:type="dxa"/>
            <w:tcBorders>
              <w:top w:val="nil"/>
              <w:left w:val="single" w:sz="4" w:space="0" w:color="auto"/>
              <w:bottom w:val="single" w:sz="4" w:space="0" w:color="000000"/>
              <w:right w:val="single" w:sz="4" w:space="0" w:color="000000"/>
            </w:tcBorders>
            <w:vAlign w:val="center"/>
            <w:hideMark/>
          </w:tcPr>
          <w:p w:rsidR="000D732C" w:rsidRDefault="000D732C">
            <w:pPr>
              <w:rPr>
                <w:color w:val="000000"/>
              </w:rPr>
            </w:pPr>
            <w:r>
              <w:rPr>
                <w:color w:val="000000"/>
              </w:rPr>
              <w:t>Текущая ликвидность</w:t>
            </w:r>
          </w:p>
        </w:tc>
        <w:tc>
          <w:tcPr>
            <w:tcW w:w="1331" w:type="dxa"/>
            <w:tcBorders>
              <w:top w:val="nil"/>
              <w:left w:val="nil"/>
              <w:bottom w:val="single" w:sz="4" w:space="0" w:color="000000"/>
              <w:right w:val="single" w:sz="4" w:space="0" w:color="000000"/>
            </w:tcBorders>
            <w:vAlign w:val="center"/>
            <w:hideMark/>
          </w:tcPr>
          <w:p w:rsidR="000D732C" w:rsidRDefault="000D732C">
            <w:pPr>
              <w:jc w:val="center"/>
              <w:rPr>
                <w:color w:val="000000"/>
              </w:rPr>
            </w:pPr>
            <w:r>
              <w:rPr>
                <w:color w:val="000000"/>
              </w:rPr>
              <w:t>0,1</w:t>
            </w:r>
          </w:p>
        </w:tc>
        <w:tc>
          <w:tcPr>
            <w:tcW w:w="1220" w:type="dxa"/>
            <w:tcBorders>
              <w:top w:val="nil"/>
              <w:left w:val="nil"/>
              <w:bottom w:val="single" w:sz="4" w:space="0" w:color="000000"/>
              <w:right w:val="single" w:sz="4" w:space="0" w:color="000000"/>
            </w:tcBorders>
            <w:vAlign w:val="center"/>
          </w:tcPr>
          <w:p w:rsidR="000D732C" w:rsidRDefault="000D732C">
            <w:pPr>
              <w:jc w:val="center"/>
              <w:rPr>
                <w:color w:val="000000"/>
              </w:rPr>
            </w:pPr>
          </w:p>
        </w:tc>
        <w:tc>
          <w:tcPr>
            <w:tcW w:w="1134" w:type="dxa"/>
            <w:tcBorders>
              <w:top w:val="nil"/>
              <w:left w:val="nil"/>
              <w:bottom w:val="single" w:sz="4" w:space="0" w:color="000000"/>
              <w:right w:val="single" w:sz="4" w:space="0" w:color="000000"/>
            </w:tcBorders>
            <w:vAlign w:val="center"/>
          </w:tcPr>
          <w:p w:rsidR="000D732C" w:rsidRDefault="000D732C">
            <w:pPr>
              <w:jc w:val="center"/>
              <w:rPr>
                <w:color w:val="000000"/>
              </w:rPr>
            </w:pPr>
          </w:p>
        </w:tc>
        <w:tc>
          <w:tcPr>
            <w:tcW w:w="1134" w:type="dxa"/>
            <w:tcBorders>
              <w:top w:val="nil"/>
              <w:left w:val="nil"/>
              <w:bottom w:val="single" w:sz="4" w:space="0" w:color="000000"/>
              <w:right w:val="single" w:sz="4" w:space="0" w:color="000000"/>
            </w:tcBorders>
            <w:vAlign w:val="center"/>
          </w:tcPr>
          <w:p w:rsidR="000D732C" w:rsidRDefault="000D732C">
            <w:pPr>
              <w:jc w:val="center"/>
            </w:pPr>
          </w:p>
        </w:tc>
        <w:tc>
          <w:tcPr>
            <w:tcW w:w="1021" w:type="dxa"/>
            <w:tcBorders>
              <w:top w:val="nil"/>
              <w:left w:val="nil"/>
              <w:bottom w:val="single" w:sz="4" w:space="0" w:color="000000"/>
              <w:right w:val="single" w:sz="4" w:space="0" w:color="000000"/>
            </w:tcBorders>
            <w:vAlign w:val="center"/>
          </w:tcPr>
          <w:p w:rsidR="000D732C" w:rsidRDefault="000D732C">
            <w:pPr>
              <w:jc w:val="center"/>
            </w:pPr>
          </w:p>
        </w:tc>
        <w:tc>
          <w:tcPr>
            <w:tcW w:w="1074" w:type="dxa"/>
            <w:tcBorders>
              <w:top w:val="nil"/>
              <w:left w:val="nil"/>
              <w:bottom w:val="single" w:sz="4" w:space="0" w:color="000000"/>
              <w:right w:val="single" w:sz="4" w:space="0" w:color="000000"/>
            </w:tcBorders>
            <w:vAlign w:val="center"/>
          </w:tcPr>
          <w:p w:rsidR="000D732C" w:rsidRDefault="000D732C">
            <w:pPr>
              <w:jc w:val="center"/>
            </w:pPr>
          </w:p>
        </w:tc>
        <w:tc>
          <w:tcPr>
            <w:tcW w:w="1166" w:type="dxa"/>
            <w:tcBorders>
              <w:top w:val="nil"/>
              <w:left w:val="nil"/>
              <w:bottom w:val="single" w:sz="4" w:space="0" w:color="000000"/>
              <w:right w:val="single" w:sz="4" w:space="0" w:color="auto"/>
            </w:tcBorders>
            <w:vAlign w:val="center"/>
          </w:tcPr>
          <w:p w:rsidR="000D732C" w:rsidRDefault="000D732C">
            <w:pPr>
              <w:jc w:val="center"/>
            </w:pPr>
          </w:p>
        </w:tc>
      </w:tr>
      <w:tr w:rsidR="000D732C" w:rsidTr="000D732C">
        <w:trPr>
          <w:trHeight w:val="300"/>
        </w:trPr>
        <w:tc>
          <w:tcPr>
            <w:tcW w:w="1838" w:type="dxa"/>
            <w:tcBorders>
              <w:top w:val="nil"/>
              <w:left w:val="single" w:sz="4" w:space="0" w:color="auto"/>
              <w:bottom w:val="single" w:sz="4" w:space="0" w:color="000000"/>
              <w:right w:val="single" w:sz="4" w:space="0" w:color="000000"/>
            </w:tcBorders>
            <w:vAlign w:val="center"/>
            <w:hideMark/>
          </w:tcPr>
          <w:p w:rsidR="000D732C" w:rsidRDefault="000D732C">
            <w:pPr>
              <w:rPr>
                <w:color w:val="000000"/>
              </w:rPr>
            </w:pPr>
            <w:r>
              <w:rPr>
                <w:color w:val="000000"/>
              </w:rPr>
              <w:t>Прирост сбыта (без НДС)</w:t>
            </w:r>
          </w:p>
        </w:tc>
        <w:tc>
          <w:tcPr>
            <w:tcW w:w="1331" w:type="dxa"/>
            <w:tcBorders>
              <w:top w:val="nil"/>
              <w:left w:val="nil"/>
              <w:bottom w:val="single" w:sz="4" w:space="0" w:color="000000"/>
              <w:right w:val="single" w:sz="4" w:space="0" w:color="000000"/>
            </w:tcBorders>
            <w:vAlign w:val="center"/>
            <w:hideMark/>
          </w:tcPr>
          <w:p w:rsidR="000D732C" w:rsidRDefault="000D732C">
            <w:pPr>
              <w:jc w:val="center"/>
              <w:rPr>
                <w:color w:val="000000"/>
              </w:rPr>
            </w:pPr>
            <w:r>
              <w:rPr>
                <w:color w:val="000000"/>
              </w:rPr>
              <w:t>0,1</w:t>
            </w:r>
          </w:p>
        </w:tc>
        <w:tc>
          <w:tcPr>
            <w:tcW w:w="1220" w:type="dxa"/>
            <w:tcBorders>
              <w:top w:val="nil"/>
              <w:left w:val="nil"/>
              <w:bottom w:val="single" w:sz="4" w:space="0" w:color="000000"/>
              <w:right w:val="single" w:sz="4" w:space="0" w:color="000000"/>
            </w:tcBorders>
            <w:vAlign w:val="center"/>
          </w:tcPr>
          <w:p w:rsidR="000D732C" w:rsidRDefault="000D732C">
            <w:pPr>
              <w:jc w:val="center"/>
              <w:rPr>
                <w:color w:val="000000"/>
              </w:rPr>
            </w:pPr>
          </w:p>
        </w:tc>
        <w:tc>
          <w:tcPr>
            <w:tcW w:w="1134" w:type="dxa"/>
            <w:tcBorders>
              <w:top w:val="nil"/>
              <w:left w:val="nil"/>
              <w:bottom w:val="single" w:sz="4" w:space="0" w:color="000000"/>
              <w:right w:val="single" w:sz="4" w:space="0" w:color="000000"/>
            </w:tcBorders>
            <w:vAlign w:val="center"/>
          </w:tcPr>
          <w:p w:rsidR="000D732C" w:rsidRDefault="000D732C">
            <w:pPr>
              <w:jc w:val="center"/>
              <w:rPr>
                <w:color w:val="000000"/>
              </w:rPr>
            </w:pPr>
          </w:p>
        </w:tc>
        <w:tc>
          <w:tcPr>
            <w:tcW w:w="1134" w:type="dxa"/>
            <w:tcBorders>
              <w:top w:val="nil"/>
              <w:left w:val="nil"/>
              <w:bottom w:val="single" w:sz="4" w:space="0" w:color="000000"/>
              <w:right w:val="single" w:sz="4" w:space="0" w:color="000000"/>
            </w:tcBorders>
            <w:vAlign w:val="center"/>
          </w:tcPr>
          <w:p w:rsidR="000D732C" w:rsidRDefault="000D732C">
            <w:pPr>
              <w:jc w:val="center"/>
            </w:pPr>
          </w:p>
        </w:tc>
        <w:tc>
          <w:tcPr>
            <w:tcW w:w="1021" w:type="dxa"/>
            <w:tcBorders>
              <w:top w:val="nil"/>
              <w:left w:val="nil"/>
              <w:bottom w:val="single" w:sz="4" w:space="0" w:color="000000"/>
              <w:right w:val="single" w:sz="4" w:space="0" w:color="000000"/>
            </w:tcBorders>
            <w:vAlign w:val="center"/>
          </w:tcPr>
          <w:p w:rsidR="000D732C" w:rsidRDefault="000D732C">
            <w:pPr>
              <w:jc w:val="center"/>
            </w:pPr>
          </w:p>
        </w:tc>
        <w:tc>
          <w:tcPr>
            <w:tcW w:w="1074" w:type="dxa"/>
            <w:tcBorders>
              <w:top w:val="nil"/>
              <w:left w:val="nil"/>
              <w:bottom w:val="single" w:sz="4" w:space="0" w:color="000000"/>
              <w:right w:val="single" w:sz="4" w:space="0" w:color="000000"/>
            </w:tcBorders>
            <w:vAlign w:val="center"/>
          </w:tcPr>
          <w:p w:rsidR="000D732C" w:rsidRDefault="000D732C">
            <w:pPr>
              <w:jc w:val="center"/>
            </w:pPr>
          </w:p>
        </w:tc>
        <w:tc>
          <w:tcPr>
            <w:tcW w:w="1166" w:type="dxa"/>
            <w:tcBorders>
              <w:top w:val="nil"/>
              <w:left w:val="nil"/>
              <w:bottom w:val="single" w:sz="4" w:space="0" w:color="000000"/>
              <w:right w:val="single" w:sz="4" w:space="0" w:color="auto"/>
            </w:tcBorders>
            <w:vAlign w:val="center"/>
          </w:tcPr>
          <w:p w:rsidR="000D732C" w:rsidRDefault="000D732C">
            <w:pPr>
              <w:jc w:val="center"/>
            </w:pPr>
          </w:p>
        </w:tc>
      </w:tr>
      <w:tr w:rsidR="000D732C" w:rsidTr="000D732C">
        <w:trPr>
          <w:trHeight w:val="510"/>
        </w:trPr>
        <w:tc>
          <w:tcPr>
            <w:tcW w:w="1838" w:type="dxa"/>
            <w:tcBorders>
              <w:top w:val="nil"/>
              <w:left w:val="single" w:sz="4" w:space="0" w:color="auto"/>
              <w:bottom w:val="single" w:sz="4" w:space="0" w:color="000000"/>
              <w:right w:val="single" w:sz="4" w:space="0" w:color="000000"/>
            </w:tcBorders>
            <w:vAlign w:val="center"/>
            <w:hideMark/>
          </w:tcPr>
          <w:p w:rsidR="000D732C" w:rsidRDefault="000D732C">
            <w:pPr>
              <w:rPr>
                <w:color w:val="000000"/>
              </w:rPr>
            </w:pPr>
            <w:r>
              <w:rPr>
                <w:color w:val="000000"/>
              </w:rPr>
              <w:lastRenderedPageBreak/>
              <w:t>Рентабельность реализованной продукции по прибыли от продаж</w:t>
            </w:r>
          </w:p>
        </w:tc>
        <w:tc>
          <w:tcPr>
            <w:tcW w:w="1331" w:type="dxa"/>
            <w:tcBorders>
              <w:top w:val="nil"/>
              <w:left w:val="nil"/>
              <w:bottom w:val="single" w:sz="4" w:space="0" w:color="000000"/>
              <w:right w:val="single" w:sz="4" w:space="0" w:color="000000"/>
            </w:tcBorders>
            <w:vAlign w:val="center"/>
            <w:hideMark/>
          </w:tcPr>
          <w:p w:rsidR="000D732C" w:rsidRDefault="000D732C">
            <w:pPr>
              <w:jc w:val="center"/>
              <w:rPr>
                <w:color w:val="000000"/>
              </w:rPr>
            </w:pPr>
            <w:r>
              <w:rPr>
                <w:color w:val="000000"/>
              </w:rPr>
              <w:t>0,1</w:t>
            </w:r>
          </w:p>
        </w:tc>
        <w:tc>
          <w:tcPr>
            <w:tcW w:w="1220" w:type="dxa"/>
            <w:tcBorders>
              <w:top w:val="nil"/>
              <w:left w:val="nil"/>
              <w:bottom w:val="single" w:sz="4" w:space="0" w:color="000000"/>
              <w:right w:val="single" w:sz="4" w:space="0" w:color="000000"/>
            </w:tcBorders>
            <w:vAlign w:val="center"/>
          </w:tcPr>
          <w:p w:rsidR="000D732C" w:rsidRDefault="000D732C">
            <w:pPr>
              <w:jc w:val="center"/>
              <w:rPr>
                <w:color w:val="000000"/>
              </w:rPr>
            </w:pPr>
          </w:p>
        </w:tc>
        <w:tc>
          <w:tcPr>
            <w:tcW w:w="1134" w:type="dxa"/>
            <w:tcBorders>
              <w:top w:val="nil"/>
              <w:left w:val="nil"/>
              <w:bottom w:val="single" w:sz="4" w:space="0" w:color="000000"/>
              <w:right w:val="single" w:sz="4" w:space="0" w:color="000000"/>
            </w:tcBorders>
            <w:vAlign w:val="center"/>
          </w:tcPr>
          <w:p w:rsidR="000D732C" w:rsidRDefault="000D732C">
            <w:pPr>
              <w:jc w:val="center"/>
              <w:rPr>
                <w:color w:val="000000"/>
              </w:rPr>
            </w:pPr>
          </w:p>
        </w:tc>
        <w:tc>
          <w:tcPr>
            <w:tcW w:w="1134" w:type="dxa"/>
            <w:tcBorders>
              <w:top w:val="nil"/>
              <w:left w:val="nil"/>
              <w:bottom w:val="single" w:sz="4" w:space="0" w:color="000000"/>
              <w:right w:val="single" w:sz="4" w:space="0" w:color="000000"/>
            </w:tcBorders>
            <w:vAlign w:val="center"/>
          </w:tcPr>
          <w:p w:rsidR="000D732C" w:rsidRDefault="000D732C">
            <w:pPr>
              <w:jc w:val="center"/>
            </w:pPr>
          </w:p>
        </w:tc>
        <w:tc>
          <w:tcPr>
            <w:tcW w:w="1021" w:type="dxa"/>
            <w:tcBorders>
              <w:top w:val="nil"/>
              <w:left w:val="nil"/>
              <w:bottom w:val="single" w:sz="4" w:space="0" w:color="000000"/>
              <w:right w:val="single" w:sz="4" w:space="0" w:color="000000"/>
            </w:tcBorders>
            <w:vAlign w:val="center"/>
          </w:tcPr>
          <w:p w:rsidR="000D732C" w:rsidRDefault="000D732C">
            <w:pPr>
              <w:jc w:val="center"/>
            </w:pPr>
          </w:p>
        </w:tc>
        <w:tc>
          <w:tcPr>
            <w:tcW w:w="1074" w:type="dxa"/>
            <w:tcBorders>
              <w:top w:val="nil"/>
              <w:left w:val="nil"/>
              <w:bottom w:val="single" w:sz="4" w:space="0" w:color="000000"/>
              <w:right w:val="single" w:sz="4" w:space="0" w:color="000000"/>
            </w:tcBorders>
            <w:vAlign w:val="center"/>
          </w:tcPr>
          <w:p w:rsidR="000D732C" w:rsidRDefault="000D732C">
            <w:pPr>
              <w:jc w:val="center"/>
            </w:pPr>
          </w:p>
        </w:tc>
        <w:tc>
          <w:tcPr>
            <w:tcW w:w="1166" w:type="dxa"/>
            <w:tcBorders>
              <w:top w:val="nil"/>
              <w:left w:val="nil"/>
              <w:bottom w:val="single" w:sz="4" w:space="0" w:color="000000"/>
              <w:right w:val="single" w:sz="4" w:space="0" w:color="auto"/>
            </w:tcBorders>
            <w:vAlign w:val="center"/>
          </w:tcPr>
          <w:p w:rsidR="000D732C" w:rsidRDefault="000D732C">
            <w:pPr>
              <w:jc w:val="center"/>
            </w:pPr>
          </w:p>
        </w:tc>
      </w:tr>
      <w:tr w:rsidR="000D732C" w:rsidTr="000D732C">
        <w:trPr>
          <w:trHeight w:val="300"/>
        </w:trPr>
        <w:tc>
          <w:tcPr>
            <w:tcW w:w="1838" w:type="dxa"/>
            <w:tcBorders>
              <w:top w:val="nil"/>
              <w:left w:val="single" w:sz="4" w:space="0" w:color="auto"/>
              <w:bottom w:val="nil"/>
              <w:right w:val="single" w:sz="4" w:space="0" w:color="000000"/>
            </w:tcBorders>
            <w:vAlign w:val="center"/>
            <w:hideMark/>
          </w:tcPr>
          <w:p w:rsidR="000D732C" w:rsidRDefault="000D732C">
            <w:pPr>
              <w:rPr>
                <w:color w:val="000000"/>
              </w:rPr>
            </w:pPr>
            <w:r>
              <w:rPr>
                <w:color w:val="000000"/>
              </w:rPr>
              <w:t>Прирост собственного капитала</w:t>
            </w:r>
          </w:p>
        </w:tc>
        <w:tc>
          <w:tcPr>
            <w:tcW w:w="1331" w:type="dxa"/>
            <w:tcBorders>
              <w:top w:val="nil"/>
              <w:left w:val="nil"/>
              <w:bottom w:val="single" w:sz="4" w:space="0" w:color="000000"/>
              <w:right w:val="single" w:sz="4" w:space="0" w:color="000000"/>
            </w:tcBorders>
            <w:vAlign w:val="center"/>
            <w:hideMark/>
          </w:tcPr>
          <w:p w:rsidR="000D732C" w:rsidRDefault="000D732C">
            <w:pPr>
              <w:jc w:val="center"/>
              <w:rPr>
                <w:color w:val="000000"/>
              </w:rPr>
            </w:pPr>
            <w:r>
              <w:rPr>
                <w:color w:val="000000"/>
              </w:rPr>
              <w:t>0,1</w:t>
            </w:r>
          </w:p>
        </w:tc>
        <w:tc>
          <w:tcPr>
            <w:tcW w:w="1220" w:type="dxa"/>
            <w:tcBorders>
              <w:top w:val="nil"/>
              <w:left w:val="nil"/>
              <w:bottom w:val="single" w:sz="4" w:space="0" w:color="000000"/>
              <w:right w:val="single" w:sz="4" w:space="0" w:color="000000"/>
            </w:tcBorders>
            <w:vAlign w:val="center"/>
          </w:tcPr>
          <w:p w:rsidR="000D732C" w:rsidRDefault="000D732C">
            <w:pPr>
              <w:jc w:val="center"/>
              <w:rPr>
                <w:color w:val="000000"/>
              </w:rPr>
            </w:pPr>
          </w:p>
        </w:tc>
        <w:tc>
          <w:tcPr>
            <w:tcW w:w="1134" w:type="dxa"/>
            <w:tcBorders>
              <w:top w:val="nil"/>
              <w:left w:val="nil"/>
              <w:bottom w:val="single" w:sz="4" w:space="0" w:color="000000"/>
              <w:right w:val="single" w:sz="4" w:space="0" w:color="000000"/>
            </w:tcBorders>
            <w:vAlign w:val="center"/>
          </w:tcPr>
          <w:p w:rsidR="000D732C" w:rsidRDefault="000D732C">
            <w:pPr>
              <w:jc w:val="center"/>
              <w:rPr>
                <w:color w:val="000000"/>
              </w:rPr>
            </w:pPr>
          </w:p>
        </w:tc>
        <w:tc>
          <w:tcPr>
            <w:tcW w:w="1134" w:type="dxa"/>
            <w:tcBorders>
              <w:top w:val="nil"/>
              <w:left w:val="nil"/>
              <w:bottom w:val="single" w:sz="4" w:space="0" w:color="000000"/>
              <w:right w:val="single" w:sz="4" w:space="0" w:color="000000"/>
            </w:tcBorders>
            <w:vAlign w:val="center"/>
          </w:tcPr>
          <w:p w:rsidR="000D732C" w:rsidRDefault="000D732C">
            <w:pPr>
              <w:jc w:val="center"/>
            </w:pPr>
          </w:p>
        </w:tc>
        <w:tc>
          <w:tcPr>
            <w:tcW w:w="1021" w:type="dxa"/>
            <w:tcBorders>
              <w:top w:val="nil"/>
              <w:left w:val="nil"/>
              <w:bottom w:val="single" w:sz="4" w:space="0" w:color="000000"/>
              <w:right w:val="single" w:sz="4" w:space="0" w:color="000000"/>
            </w:tcBorders>
            <w:vAlign w:val="center"/>
          </w:tcPr>
          <w:p w:rsidR="000D732C" w:rsidRDefault="000D732C">
            <w:pPr>
              <w:jc w:val="center"/>
            </w:pPr>
          </w:p>
        </w:tc>
        <w:tc>
          <w:tcPr>
            <w:tcW w:w="1074" w:type="dxa"/>
            <w:tcBorders>
              <w:top w:val="nil"/>
              <w:left w:val="nil"/>
              <w:bottom w:val="single" w:sz="4" w:space="0" w:color="000000"/>
              <w:right w:val="single" w:sz="4" w:space="0" w:color="000000"/>
            </w:tcBorders>
            <w:vAlign w:val="center"/>
          </w:tcPr>
          <w:p w:rsidR="000D732C" w:rsidRDefault="000D732C">
            <w:pPr>
              <w:jc w:val="center"/>
            </w:pPr>
          </w:p>
        </w:tc>
        <w:tc>
          <w:tcPr>
            <w:tcW w:w="1166" w:type="dxa"/>
            <w:tcBorders>
              <w:top w:val="nil"/>
              <w:left w:val="nil"/>
              <w:bottom w:val="single" w:sz="4" w:space="0" w:color="000000"/>
              <w:right w:val="single" w:sz="4" w:space="0" w:color="auto"/>
            </w:tcBorders>
            <w:vAlign w:val="center"/>
          </w:tcPr>
          <w:p w:rsidR="000D732C" w:rsidRDefault="000D732C">
            <w:pPr>
              <w:jc w:val="center"/>
            </w:pPr>
          </w:p>
        </w:tc>
      </w:tr>
      <w:tr w:rsidR="000D732C" w:rsidTr="000D732C">
        <w:trPr>
          <w:trHeight w:val="300"/>
        </w:trPr>
        <w:tc>
          <w:tcPr>
            <w:tcW w:w="1838" w:type="dxa"/>
            <w:tcBorders>
              <w:top w:val="single" w:sz="4" w:space="0" w:color="000000"/>
              <w:left w:val="single" w:sz="4" w:space="0" w:color="auto"/>
              <w:bottom w:val="nil"/>
              <w:right w:val="single" w:sz="4" w:space="0" w:color="000000"/>
            </w:tcBorders>
            <w:vAlign w:val="center"/>
            <w:hideMark/>
          </w:tcPr>
          <w:p w:rsidR="000D732C" w:rsidRDefault="000D732C">
            <w:pPr>
              <w:rPr>
                <w:color w:val="000000"/>
              </w:rPr>
            </w:pPr>
            <w:r>
              <w:rPr>
                <w:color w:val="000000"/>
              </w:rPr>
              <w:t>Быстрая ликвидность</w:t>
            </w:r>
          </w:p>
        </w:tc>
        <w:tc>
          <w:tcPr>
            <w:tcW w:w="1331" w:type="dxa"/>
            <w:tcBorders>
              <w:top w:val="nil"/>
              <w:left w:val="nil"/>
              <w:bottom w:val="single" w:sz="4" w:space="0" w:color="000000"/>
              <w:right w:val="single" w:sz="4" w:space="0" w:color="000000"/>
            </w:tcBorders>
            <w:vAlign w:val="center"/>
            <w:hideMark/>
          </w:tcPr>
          <w:p w:rsidR="000D732C" w:rsidRDefault="000D732C">
            <w:pPr>
              <w:jc w:val="center"/>
              <w:rPr>
                <w:color w:val="000000"/>
              </w:rPr>
            </w:pPr>
            <w:r>
              <w:rPr>
                <w:color w:val="000000"/>
              </w:rPr>
              <w:t>0,05</w:t>
            </w:r>
          </w:p>
        </w:tc>
        <w:tc>
          <w:tcPr>
            <w:tcW w:w="1220" w:type="dxa"/>
            <w:tcBorders>
              <w:top w:val="nil"/>
              <w:left w:val="nil"/>
              <w:bottom w:val="single" w:sz="4" w:space="0" w:color="000000"/>
              <w:right w:val="single" w:sz="4" w:space="0" w:color="000000"/>
            </w:tcBorders>
            <w:vAlign w:val="center"/>
          </w:tcPr>
          <w:p w:rsidR="000D732C" w:rsidRDefault="000D732C">
            <w:pPr>
              <w:jc w:val="center"/>
              <w:rPr>
                <w:color w:val="000000"/>
              </w:rPr>
            </w:pPr>
          </w:p>
        </w:tc>
        <w:tc>
          <w:tcPr>
            <w:tcW w:w="1134" w:type="dxa"/>
            <w:tcBorders>
              <w:top w:val="nil"/>
              <w:left w:val="nil"/>
              <w:bottom w:val="single" w:sz="4" w:space="0" w:color="000000"/>
              <w:right w:val="single" w:sz="4" w:space="0" w:color="000000"/>
            </w:tcBorders>
            <w:vAlign w:val="center"/>
          </w:tcPr>
          <w:p w:rsidR="000D732C" w:rsidRDefault="000D732C">
            <w:pPr>
              <w:jc w:val="center"/>
              <w:rPr>
                <w:color w:val="000000"/>
              </w:rPr>
            </w:pPr>
          </w:p>
        </w:tc>
        <w:tc>
          <w:tcPr>
            <w:tcW w:w="1134" w:type="dxa"/>
            <w:tcBorders>
              <w:top w:val="nil"/>
              <w:left w:val="nil"/>
              <w:bottom w:val="single" w:sz="4" w:space="0" w:color="000000"/>
              <w:right w:val="single" w:sz="4" w:space="0" w:color="000000"/>
            </w:tcBorders>
            <w:vAlign w:val="center"/>
          </w:tcPr>
          <w:p w:rsidR="000D732C" w:rsidRDefault="000D732C">
            <w:pPr>
              <w:jc w:val="center"/>
            </w:pPr>
          </w:p>
        </w:tc>
        <w:tc>
          <w:tcPr>
            <w:tcW w:w="1021" w:type="dxa"/>
            <w:tcBorders>
              <w:top w:val="nil"/>
              <w:left w:val="nil"/>
              <w:bottom w:val="single" w:sz="4" w:space="0" w:color="000000"/>
              <w:right w:val="single" w:sz="4" w:space="0" w:color="000000"/>
            </w:tcBorders>
            <w:vAlign w:val="center"/>
          </w:tcPr>
          <w:p w:rsidR="000D732C" w:rsidRDefault="000D732C">
            <w:pPr>
              <w:jc w:val="center"/>
            </w:pPr>
          </w:p>
        </w:tc>
        <w:tc>
          <w:tcPr>
            <w:tcW w:w="1074" w:type="dxa"/>
            <w:tcBorders>
              <w:top w:val="nil"/>
              <w:left w:val="nil"/>
              <w:bottom w:val="single" w:sz="4" w:space="0" w:color="000000"/>
              <w:right w:val="single" w:sz="4" w:space="0" w:color="000000"/>
            </w:tcBorders>
            <w:vAlign w:val="center"/>
          </w:tcPr>
          <w:p w:rsidR="000D732C" w:rsidRDefault="000D732C">
            <w:pPr>
              <w:jc w:val="center"/>
            </w:pPr>
          </w:p>
        </w:tc>
        <w:tc>
          <w:tcPr>
            <w:tcW w:w="1166" w:type="dxa"/>
            <w:tcBorders>
              <w:top w:val="nil"/>
              <w:left w:val="nil"/>
              <w:bottom w:val="single" w:sz="4" w:space="0" w:color="000000"/>
              <w:right w:val="single" w:sz="4" w:space="0" w:color="auto"/>
            </w:tcBorders>
            <w:vAlign w:val="center"/>
          </w:tcPr>
          <w:p w:rsidR="000D732C" w:rsidRDefault="000D732C">
            <w:pPr>
              <w:jc w:val="center"/>
            </w:pPr>
          </w:p>
        </w:tc>
      </w:tr>
      <w:tr w:rsidR="000D732C" w:rsidTr="000D732C">
        <w:trPr>
          <w:trHeight w:val="510"/>
        </w:trPr>
        <w:tc>
          <w:tcPr>
            <w:tcW w:w="1838" w:type="dxa"/>
            <w:tcBorders>
              <w:top w:val="single" w:sz="4" w:space="0" w:color="000000"/>
              <w:left w:val="single" w:sz="4" w:space="0" w:color="auto"/>
              <w:bottom w:val="nil"/>
              <w:right w:val="single" w:sz="4" w:space="0" w:color="000000"/>
            </w:tcBorders>
            <w:vAlign w:val="center"/>
            <w:hideMark/>
          </w:tcPr>
          <w:p w:rsidR="000D732C" w:rsidRDefault="000D732C">
            <w:pPr>
              <w:rPr>
                <w:color w:val="000000"/>
              </w:rPr>
            </w:pPr>
            <w:r>
              <w:rPr>
                <w:color w:val="000000"/>
              </w:rPr>
              <w:t>Коэффициент обеспечения оборотных активов собственными средствами</w:t>
            </w:r>
          </w:p>
        </w:tc>
        <w:tc>
          <w:tcPr>
            <w:tcW w:w="1331" w:type="dxa"/>
            <w:tcBorders>
              <w:top w:val="nil"/>
              <w:left w:val="nil"/>
              <w:bottom w:val="single" w:sz="4" w:space="0" w:color="000000"/>
              <w:right w:val="single" w:sz="4" w:space="0" w:color="000000"/>
            </w:tcBorders>
            <w:vAlign w:val="center"/>
            <w:hideMark/>
          </w:tcPr>
          <w:p w:rsidR="000D732C" w:rsidRDefault="000D732C">
            <w:pPr>
              <w:jc w:val="center"/>
              <w:rPr>
                <w:color w:val="000000"/>
              </w:rPr>
            </w:pPr>
            <w:r>
              <w:rPr>
                <w:color w:val="000000"/>
              </w:rPr>
              <w:t>0,05</w:t>
            </w:r>
          </w:p>
        </w:tc>
        <w:tc>
          <w:tcPr>
            <w:tcW w:w="1220" w:type="dxa"/>
            <w:tcBorders>
              <w:top w:val="nil"/>
              <w:left w:val="nil"/>
              <w:bottom w:val="single" w:sz="4" w:space="0" w:color="000000"/>
              <w:right w:val="single" w:sz="4" w:space="0" w:color="000000"/>
            </w:tcBorders>
            <w:vAlign w:val="center"/>
          </w:tcPr>
          <w:p w:rsidR="000D732C" w:rsidRDefault="000D732C">
            <w:pPr>
              <w:jc w:val="center"/>
              <w:rPr>
                <w:color w:val="000000"/>
              </w:rPr>
            </w:pPr>
          </w:p>
        </w:tc>
        <w:tc>
          <w:tcPr>
            <w:tcW w:w="1134" w:type="dxa"/>
            <w:tcBorders>
              <w:top w:val="nil"/>
              <w:left w:val="nil"/>
              <w:bottom w:val="single" w:sz="4" w:space="0" w:color="000000"/>
              <w:right w:val="single" w:sz="4" w:space="0" w:color="000000"/>
            </w:tcBorders>
            <w:vAlign w:val="center"/>
          </w:tcPr>
          <w:p w:rsidR="000D732C" w:rsidRDefault="000D732C">
            <w:pPr>
              <w:jc w:val="center"/>
              <w:rPr>
                <w:color w:val="000000"/>
              </w:rPr>
            </w:pPr>
          </w:p>
        </w:tc>
        <w:tc>
          <w:tcPr>
            <w:tcW w:w="1134" w:type="dxa"/>
            <w:tcBorders>
              <w:top w:val="nil"/>
              <w:left w:val="nil"/>
              <w:bottom w:val="single" w:sz="4" w:space="0" w:color="000000"/>
              <w:right w:val="single" w:sz="4" w:space="0" w:color="000000"/>
            </w:tcBorders>
            <w:vAlign w:val="center"/>
          </w:tcPr>
          <w:p w:rsidR="000D732C" w:rsidRDefault="000D732C">
            <w:pPr>
              <w:jc w:val="center"/>
            </w:pPr>
          </w:p>
        </w:tc>
        <w:tc>
          <w:tcPr>
            <w:tcW w:w="1021" w:type="dxa"/>
            <w:tcBorders>
              <w:top w:val="nil"/>
              <w:left w:val="nil"/>
              <w:bottom w:val="single" w:sz="4" w:space="0" w:color="000000"/>
              <w:right w:val="single" w:sz="4" w:space="0" w:color="000000"/>
            </w:tcBorders>
            <w:vAlign w:val="center"/>
          </w:tcPr>
          <w:p w:rsidR="000D732C" w:rsidRDefault="000D732C">
            <w:pPr>
              <w:jc w:val="center"/>
            </w:pPr>
          </w:p>
        </w:tc>
        <w:tc>
          <w:tcPr>
            <w:tcW w:w="1074" w:type="dxa"/>
            <w:tcBorders>
              <w:top w:val="nil"/>
              <w:left w:val="nil"/>
              <w:bottom w:val="single" w:sz="4" w:space="0" w:color="000000"/>
              <w:right w:val="single" w:sz="4" w:space="0" w:color="000000"/>
            </w:tcBorders>
            <w:vAlign w:val="center"/>
          </w:tcPr>
          <w:p w:rsidR="000D732C" w:rsidRDefault="000D732C">
            <w:pPr>
              <w:jc w:val="center"/>
            </w:pPr>
          </w:p>
        </w:tc>
        <w:tc>
          <w:tcPr>
            <w:tcW w:w="1166" w:type="dxa"/>
            <w:tcBorders>
              <w:top w:val="nil"/>
              <w:left w:val="nil"/>
              <w:bottom w:val="single" w:sz="4" w:space="0" w:color="000000"/>
              <w:right w:val="single" w:sz="4" w:space="0" w:color="auto"/>
            </w:tcBorders>
            <w:vAlign w:val="center"/>
          </w:tcPr>
          <w:p w:rsidR="000D732C" w:rsidRDefault="000D732C">
            <w:pPr>
              <w:jc w:val="center"/>
            </w:pPr>
          </w:p>
        </w:tc>
      </w:tr>
      <w:tr w:rsidR="000D732C" w:rsidTr="000D732C">
        <w:trPr>
          <w:trHeight w:val="300"/>
        </w:trPr>
        <w:tc>
          <w:tcPr>
            <w:tcW w:w="1838" w:type="dxa"/>
            <w:tcBorders>
              <w:top w:val="single" w:sz="4" w:space="0" w:color="000000"/>
              <w:left w:val="single" w:sz="4" w:space="0" w:color="auto"/>
              <w:bottom w:val="nil"/>
              <w:right w:val="single" w:sz="4" w:space="0" w:color="000000"/>
            </w:tcBorders>
            <w:vAlign w:val="center"/>
            <w:hideMark/>
          </w:tcPr>
          <w:p w:rsidR="000D732C" w:rsidRDefault="000D732C">
            <w:pPr>
              <w:rPr>
                <w:color w:val="000000"/>
              </w:rPr>
            </w:pPr>
            <w:r>
              <w:rPr>
                <w:color w:val="000000"/>
              </w:rPr>
              <w:t>Коэффициент финансовой устойчивости</w:t>
            </w:r>
          </w:p>
        </w:tc>
        <w:tc>
          <w:tcPr>
            <w:tcW w:w="1331" w:type="dxa"/>
            <w:tcBorders>
              <w:top w:val="nil"/>
              <w:left w:val="nil"/>
              <w:bottom w:val="single" w:sz="4" w:space="0" w:color="000000"/>
              <w:right w:val="single" w:sz="4" w:space="0" w:color="000000"/>
            </w:tcBorders>
            <w:vAlign w:val="center"/>
            <w:hideMark/>
          </w:tcPr>
          <w:p w:rsidR="000D732C" w:rsidRDefault="000D732C">
            <w:pPr>
              <w:jc w:val="center"/>
              <w:rPr>
                <w:color w:val="000000"/>
              </w:rPr>
            </w:pPr>
            <w:r>
              <w:rPr>
                <w:color w:val="000000"/>
              </w:rPr>
              <w:t>0,05</w:t>
            </w:r>
          </w:p>
        </w:tc>
        <w:tc>
          <w:tcPr>
            <w:tcW w:w="1220" w:type="dxa"/>
            <w:tcBorders>
              <w:top w:val="nil"/>
              <w:left w:val="nil"/>
              <w:bottom w:val="single" w:sz="4" w:space="0" w:color="000000"/>
              <w:right w:val="single" w:sz="4" w:space="0" w:color="000000"/>
            </w:tcBorders>
            <w:vAlign w:val="center"/>
          </w:tcPr>
          <w:p w:rsidR="000D732C" w:rsidRDefault="000D732C">
            <w:pPr>
              <w:jc w:val="center"/>
              <w:rPr>
                <w:color w:val="000000"/>
              </w:rPr>
            </w:pPr>
          </w:p>
        </w:tc>
        <w:tc>
          <w:tcPr>
            <w:tcW w:w="1134" w:type="dxa"/>
            <w:tcBorders>
              <w:top w:val="nil"/>
              <w:left w:val="nil"/>
              <w:bottom w:val="single" w:sz="4" w:space="0" w:color="000000"/>
              <w:right w:val="single" w:sz="4" w:space="0" w:color="000000"/>
            </w:tcBorders>
            <w:vAlign w:val="center"/>
          </w:tcPr>
          <w:p w:rsidR="000D732C" w:rsidRDefault="000D732C">
            <w:pPr>
              <w:jc w:val="center"/>
              <w:rPr>
                <w:color w:val="000000"/>
              </w:rPr>
            </w:pPr>
          </w:p>
        </w:tc>
        <w:tc>
          <w:tcPr>
            <w:tcW w:w="1134" w:type="dxa"/>
            <w:tcBorders>
              <w:top w:val="nil"/>
              <w:left w:val="nil"/>
              <w:bottom w:val="single" w:sz="4" w:space="0" w:color="000000"/>
              <w:right w:val="single" w:sz="4" w:space="0" w:color="000000"/>
            </w:tcBorders>
            <w:vAlign w:val="center"/>
          </w:tcPr>
          <w:p w:rsidR="000D732C" w:rsidRDefault="000D732C">
            <w:pPr>
              <w:jc w:val="center"/>
            </w:pPr>
          </w:p>
        </w:tc>
        <w:tc>
          <w:tcPr>
            <w:tcW w:w="1021" w:type="dxa"/>
            <w:tcBorders>
              <w:top w:val="nil"/>
              <w:left w:val="nil"/>
              <w:bottom w:val="single" w:sz="4" w:space="0" w:color="000000"/>
              <w:right w:val="single" w:sz="4" w:space="0" w:color="000000"/>
            </w:tcBorders>
            <w:vAlign w:val="center"/>
          </w:tcPr>
          <w:p w:rsidR="000D732C" w:rsidRDefault="000D732C">
            <w:pPr>
              <w:jc w:val="center"/>
            </w:pPr>
          </w:p>
        </w:tc>
        <w:tc>
          <w:tcPr>
            <w:tcW w:w="1074" w:type="dxa"/>
            <w:tcBorders>
              <w:top w:val="nil"/>
              <w:left w:val="nil"/>
              <w:bottom w:val="single" w:sz="4" w:space="0" w:color="000000"/>
              <w:right w:val="single" w:sz="4" w:space="0" w:color="000000"/>
            </w:tcBorders>
            <w:vAlign w:val="center"/>
          </w:tcPr>
          <w:p w:rsidR="000D732C" w:rsidRDefault="000D732C">
            <w:pPr>
              <w:jc w:val="center"/>
            </w:pPr>
          </w:p>
        </w:tc>
        <w:tc>
          <w:tcPr>
            <w:tcW w:w="1166" w:type="dxa"/>
            <w:tcBorders>
              <w:top w:val="nil"/>
              <w:left w:val="nil"/>
              <w:bottom w:val="single" w:sz="4" w:space="0" w:color="000000"/>
              <w:right w:val="single" w:sz="4" w:space="0" w:color="auto"/>
            </w:tcBorders>
            <w:vAlign w:val="center"/>
          </w:tcPr>
          <w:p w:rsidR="000D732C" w:rsidRDefault="000D732C">
            <w:pPr>
              <w:jc w:val="center"/>
            </w:pPr>
          </w:p>
        </w:tc>
      </w:tr>
      <w:tr w:rsidR="000D732C" w:rsidTr="000D732C">
        <w:trPr>
          <w:trHeight w:val="300"/>
        </w:trPr>
        <w:tc>
          <w:tcPr>
            <w:tcW w:w="1838" w:type="dxa"/>
            <w:tcBorders>
              <w:top w:val="single" w:sz="4" w:space="0" w:color="000000"/>
              <w:left w:val="single" w:sz="4" w:space="0" w:color="auto"/>
              <w:bottom w:val="nil"/>
              <w:right w:val="single" w:sz="4" w:space="0" w:color="000000"/>
            </w:tcBorders>
            <w:vAlign w:val="center"/>
            <w:hideMark/>
          </w:tcPr>
          <w:p w:rsidR="000D732C" w:rsidRDefault="000D732C">
            <w:pPr>
              <w:rPr>
                <w:color w:val="000000"/>
              </w:rPr>
            </w:pPr>
            <w:r>
              <w:rPr>
                <w:color w:val="000000"/>
              </w:rPr>
              <w:t>Коэффициент абсолютной ликвидности</w:t>
            </w:r>
          </w:p>
        </w:tc>
        <w:tc>
          <w:tcPr>
            <w:tcW w:w="1331" w:type="dxa"/>
            <w:tcBorders>
              <w:top w:val="nil"/>
              <w:left w:val="nil"/>
              <w:bottom w:val="nil"/>
              <w:right w:val="single" w:sz="4" w:space="0" w:color="000000"/>
            </w:tcBorders>
            <w:vAlign w:val="center"/>
            <w:hideMark/>
          </w:tcPr>
          <w:p w:rsidR="000D732C" w:rsidRDefault="000D732C">
            <w:pPr>
              <w:jc w:val="center"/>
              <w:rPr>
                <w:color w:val="000000"/>
              </w:rPr>
            </w:pPr>
            <w:r>
              <w:rPr>
                <w:color w:val="000000"/>
              </w:rPr>
              <w:t>0,05</w:t>
            </w:r>
          </w:p>
        </w:tc>
        <w:tc>
          <w:tcPr>
            <w:tcW w:w="1220" w:type="dxa"/>
            <w:vAlign w:val="center"/>
          </w:tcPr>
          <w:p w:rsidR="000D732C" w:rsidRDefault="000D732C">
            <w:pPr>
              <w:jc w:val="center"/>
              <w:rPr>
                <w:color w:val="000000"/>
              </w:rPr>
            </w:pPr>
          </w:p>
        </w:tc>
        <w:tc>
          <w:tcPr>
            <w:tcW w:w="1134" w:type="dxa"/>
            <w:tcBorders>
              <w:top w:val="nil"/>
              <w:left w:val="single" w:sz="4" w:space="0" w:color="000000"/>
              <w:bottom w:val="nil"/>
              <w:right w:val="nil"/>
            </w:tcBorders>
            <w:vAlign w:val="center"/>
          </w:tcPr>
          <w:p w:rsidR="000D732C" w:rsidRDefault="000D732C">
            <w:pPr>
              <w:jc w:val="center"/>
              <w:rPr>
                <w:color w:val="000000"/>
              </w:rPr>
            </w:pPr>
          </w:p>
        </w:tc>
        <w:tc>
          <w:tcPr>
            <w:tcW w:w="1134" w:type="dxa"/>
            <w:tcBorders>
              <w:top w:val="nil"/>
              <w:left w:val="single" w:sz="4" w:space="0" w:color="000000"/>
              <w:bottom w:val="single" w:sz="4" w:space="0" w:color="000000"/>
              <w:right w:val="single" w:sz="4" w:space="0" w:color="000000"/>
            </w:tcBorders>
            <w:vAlign w:val="center"/>
          </w:tcPr>
          <w:p w:rsidR="000D732C" w:rsidRDefault="000D732C">
            <w:pPr>
              <w:jc w:val="center"/>
            </w:pPr>
          </w:p>
        </w:tc>
        <w:tc>
          <w:tcPr>
            <w:tcW w:w="1021" w:type="dxa"/>
            <w:tcBorders>
              <w:top w:val="nil"/>
              <w:left w:val="nil"/>
              <w:bottom w:val="single" w:sz="4" w:space="0" w:color="000000"/>
              <w:right w:val="single" w:sz="4" w:space="0" w:color="000000"/>
            </w:tcBorders>
            <w:vAlign w:val="center"/>
          </w:tcPr>
          <w:p w:rsidR="000D732C" w:rsidRDefault="000D732C">
            <w:pPr>
              <w:jc w:val="center"/>
            </w:pPr>
          </w:p>
        </w:tc>
        <w:tc>
          <w:tcPr>
            <w:tcW w:w="1074" w:type="dxa"/>
            <w:tcBorders>
              <w:top w:val="nil"/>
              <w:left w:val="nil"/>
              <w:bottom w:val="single" w:sz="4" w:space="0" w:color="000000"/>
              <w:right w:val="single" w:sz="4" w:space="0" w:color="000000"/>
            </w:tcBorders>
            <w:vAlign w:val="center"/>
          </w:tcPr>
          <w:p w:rsidR="000D732C" w:rsidRDefault="000D732C">
            <w:pPr>
              <w:jc w:val="center"/>
            </w:pPr>
          </w:p>
        </w:tc>
        <w:tc>
          <w:tcPr>
            <w:tcW w:w="1166" w:type="dxa"/>
            <w:tcBorders>
              <w:top w:val="nil"/>
              <w:left w:val="nil"/>
              <w:bottom w:val="single" w:sz="4" w:space="0" w:color="000000"/>
              <w:right w:val="single" w:sz="4" w:space="0" w:color="auto"/>
            </w:tcBorders>
            <w:vAlign w:val="center"/>
          </w:tcPr>
          <w:p w:rsidR="000D732C" w:rsidRDefault="000D732C">
            <w:pPr>
              <w:jc w:val="center"/>
            </w:pPr>
          </w:p>
        </w:tc>
      </w:tr>
      <w:tr w:rsidR="000D732C" w:rsidTr="000D732C">
        <w:trPr>
          <w:trHeight w:val="300"/>
        </w:trPr>
        <w:tc>
          <w:tcPr>
            <w:tcW w:w="1838" w:type="dxa"/>
            <w:tcBorders>
              <w:top w:val="single" w:sz="4" w:space="0" w:color="000000"/>
              <w:left w:val="single" w:sz="4" w:space="0" w:color="auto"/>
              <w:bottom w:val="single" w:sz="4" w:space="0" w:color="auto"/>
              <w:right w:val="single" w:sz="4" w:space="0" w:color="000000"/>
            </w:tcBorders>
            <w:vAlign w:val="center"/>
            <w:hideMark/>
          </w:tcPr>
          <w:p w:rsidR="000D732C" w:rsidRDefault="000D732C">
            <w:pPr>
              <w:jc w:val="center"/>
              <w:rPr>
                <w:color w:val="000000"/>
              </w:rPr>
            </w:pPr>
            <w:r>
              <w:rPr>
                <w:color w:val="000000"/>
              </w:rPr>
              <w:t>Итого</w:t>
            </w:r>
          </w:p>
        </w:tc>
        <w:tc>
          <w:tcPr>
            <w:tcW w:w="1331" w:type="dxa"/>
            <w:tcBorders>
              <w:top w:val="single" w:sz="4" w:space="0" w:color="000000"/>
              <w:left w:val="nil"/>
              <w:bottom w:val="single" w:sz="4" w:space="0" w:color="auto"/>
              <w:right w:val="single" w:sz="4" w:space="0" w:color="000000"/>
            </w:tcBorders>
            <w:vAlign w:val="center"/>
            <w:hideMark/>
          </w:tcPr>
          <w:p w:rsidR="000D732C" w:rsidRDefault="000D732C">
            <w:pPr>
              <w:jc w:val="center"/>
              <w:rPr>
                <w:color w:val="000000"/>
              </w:rPr>
            </w:pPr>
            <w:r>
              <w:rPr>
                <w:color w:val="000000"/>
              </w:rPr>
              <w:t>1</w:t>
            </w:r>
          </w:p>
        </w:tc>
        <w:tc>
          <w:tcPr>
            <w:tcW w:w="3488" w:type="dxa"/>
            <w:gridSpan w:val="3"/>
            <w:tcBorders>
              <w:top w:val="single" w:sz="4" w:space="0" w:color="000000"/>
              <w:left w:val="nil"/>
              <w:bottom w:val="single" w:sz="4" w:space="0" w:color="auto"/>
              <w:right w:val="nil"/>
            </w:tcBorders>
            <w:vAlign w:val="center"/>
            <w:hideMark/>
          </w:tcPr>
          <w:p w:rsidR="000D732C" w:rsidRDefault="000D732C">
            <w:pPr>
              <w:jc w:val="center"/>
              <w:rPr>
                <w:b/>
                <w:bCs/>
                <w:color w:val="000000"/>
              </w:rPr>
            </w:pPr>
            <w:r>
              <w:rPr>
                <w:b/>
                <w:bCs/>
                <w:color w:val="000000"/>
              </w:rPr>
              <w:t>Итоговая оценка:</w:t>
            </w:r>
          </w:p>
        </w:tc>
        <w:tc>
          <w:tcPr>
            <w:tcW w:w="1021" w:type="dxa"/>
            <w:tcBorders>
              <w:top w:val="nil"/>
              <w:left w:val="nil"/>
              <w:bottom w:val="single" w:sz="4" w:space="0" w:color="auto"/>
              <w:right w:val="single" w:sz="4" w:space="0" w:color="auto"/>
            </w:tcBorders>
            <w:vAlign w:val="center"/>
            <w:hideMark/>
          </w:tcPr>
          <w:p w:rsidR="000D732C" w:rsidRDefault="000D732C">
            <w:pPr>
              <w:rPr>
                <w:b/>
                <w:bCs/>
                <w:color w:val="000000"/>
              </w:rPr>
            </w:pPr>
            <w:r>
              <w:rPr>
                <w:b/>
                <w:bCs/>
                <w:color w:val="000000"/>
              </w:rPr>
              <w:t> </w:t>
            </w:r>
          </w:p>
        </w:tc>
        <w:tc>
          <w:tcPr>
            <w:tcW w:w="1074" w:type="dxa"/>
            <w:tcBorders>
              <w:top w:val="nil"/>
              <w:left w:val="nil"/>
              <w:bottom w:val="single" w:sz="4" w:space="0" w:color="000000"/>
              <w:right w:val="single" w:sz="4" w:space="0" w:color="000000"/>
            </w:tcBorders>
            <w:vAlign w:val="center"/>
            <w:hideMark/>
          </w:tcPr>
          <w:p w:rsidR="000D732C" w:rsidRDefault="000D732C">
            <w:pPr>
              <w:jc w:val="center"/>
              <w:rPr>
                <w:color w:val="FF0000"/>
              </w:rPr>
            </w:pPr>
            <w:r>
              <w:rPr>
                <w:color w:val="FF0000"/>
              </w:rPr>
              <w:t> </w:t>
            </w:r>
          </w:p>
        </w:tc>
        <w:tc>
          <w:tcPr>
            <w:tcW w:w="1166" w:type="dxa"/>
            <w:tcBorders>
              <w:top w:val="nil"/>
              <w:left w:val="nil"/>
              <w:bottom w:val="single" w:sz="4" w:space="0" w:color="auto"/>
              <w:right w:val="single" w:sz="4" w:space="0" w:color="auto"/>
            </w:tcBorders>
            <w:noWrap/>
            <w:vAlign w:val="bottom"/>
          </w:tcPr>
          <w:p w:rsidR="000D732C" w:rsidRDefault="000D732C">
            <w:pPr>
              <w:jc w:val="center"/>
              <w:rPr>
                <w:color w:val="000000"/>
              </w:rPr>
            </w:pPr>
          </w:p>
        </w:tc>
      </w:tr>
      <w:tr w:rsidR="000D732C" w:rsidTr="000D732C">
        <w:trPr>
          <w:trHeight w:val="300"/>
        </w:trPr>
        <w:tc>
          <w:tcPr>
            <w:tcW w:w="1838" w:type="dxa"/>
            <w:noWrap/>
            <w:vAlign w:val="bottom"/>
          </w:tcPr>
          <w:p w:rsidR="000D732C" w:rsidRDefault="000D732C">
            <w:pPr>
              <w:jc w:val="center"/>
              <w:rPr>
                <w:color w:val="000000"/>
              </w:rPr>
            </w:pPr>
          </w:p>
        </w:tc>
        <w:tc>
          <w:tcPr>
            <w:tcW w:w="1331" w:type="dxa"/>
            <w:noWrap/>
            <w:vAlign w:val="bottom"/>
          </w:tcPr>
          <w:p w:rsidR="000D732C" w:rsidRDefault="000D732C"/>
        </w:tc>
        <w:tc>
          <w:tcPr>
            <w:tcW w:w="1220" w:type="dxa"/>
            <w:noWrap/>
            <w:vAlign w:val="bottom"/>
          </w:tcPr>
          <w:p w:rsidR="000D732C" w:rsidRDefault="000D732C"/>
        </w:tc>
        <w:tc>
          <w:tcPr>
            <w:tcW w:w="1134" w:type="dxa"/>
            <w:noWrap/>
            <w:vAlign w:val="bottom"/>
          </w:tcPr>
          <w:p w:rsidR="000D732C" w:rsidRDefault="000D732C"/>
        </w:tc>
        <w:tc>
          <w:tcPr>
            <w:tcW w:w="1134" w:type="dxa"/>
            <w:noWrap/>
            <w:vAlign w:val="bottom"/>
          </w:tcPr>
          <w:p w:rsidR="000D732C" w:rsidRDefault="000D732C"/>
        </w:tc>
        <w:tc>
          <w:tcPr>
            <w:tcW w:w="1021" w:type="dxa"/>
            <w:noWrap/>
            <w:vAlign w:val="bottom"/>
          </w:tcPr>
          <w:p w:rsidR="000D732C" w:rsidRDefault="000D732C"/>
        </w:tc>
        <w:tc>
          <w:tcPr>
            <w:tcW w:w="1074" w:type="dxa"/>
            <w:noWrap/>
            <w:vAlign w:val="bottom"/>
          </w:tcPr>
          <w:p w:rsidR="000D732C" w:rsidRDefault="000D732C"/>
        </w:tc>
        <w:tc>
          <w:tcPr>
            <w:tcW w:w="1166" w:type="dxa"/>
            <w:noWrap/>
            <w:vAlign w:val="bottom"/>
          </w:tcPr>
          <w:p w:rsidR="000D732C" w:rsidRDefault="000D732C"/>
        </w:tc>
      </w:tr>
    </w:tbl>
    <w:p w:rsidR="000D732C" w:rsidRDefault="000D732C" w:rsidP="000D732C">
      <w:pPr>
        <w:pStyle w:val="HTML"/>
        <w:jc w:val="both"/>
        <w:rPr>
          <w:rFonts w:ascii="Times New Roman" w:hAnsi="Times New Roman" w:cs="Times New Roman"/>
          <w:b/>
          <w:sz w:val="24"/>
          <w:szCs w:val="24"/>
        </w:rPr>
      </w:pPr>
      <w:r>
        <w:rPr>
          <w:rFonts w:ascii="Times New Roman" w:hAnsi="Times New Roman" w:cs="Times New Roman"/>
          <w:b/>
          <w:sz w:val="24"/>
          <w:szCs w:val="24"/>
        </w:rPr>
        <w:t xml:space="preserve">Кредитование Заемщиков с </w:t>
      </w:r>
      <w:proofErr w:type="gramStart"/>
      <w:r>
        <w:rPr>
          <w:rFonts w:ascii="Times New Roman" w:hAnsi="Times New Roman" w:cs="Times New Roman"/>
          <w:b/>
          <w:sz w:val="24"/>
          <w:szCs w:val="24"/>
        </w:rPr>
        <w:t>финансовым</w:t>
      </w:r>
      <w:proofErr w:type="gramEnd"/>
      <w:r>
        <w:rPr>
          <w:rFonts w:ascii="Times New Roman" w:hAnsi="Times New Roman" w:cs="Times New Roman"/>
          <w:b/>
          <w:sz w:val="24"/>
          <w:szCs w:val="24"/>
        </w:rPr>
        <w:t xml:space="preserve"> положение неудовлетворительное и ниже вызывает повышенные риски, и не рекомендуется.</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В зависимости от количества набранных баллов, финансовое положение заемщика классифицируется как:</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right"/>
        <w:rPr>
          <w:rFonts w:ascii="Times New Roman" w:hAnsi="Times New Roman" w:cs="Times New Roman"/>
          <w:i/>
          <w:sz w:val="24"/>
          <w:szCs w:val="24"/>
        </w:rPr>
      </w:pPr>
      <w:r>
        <w:rPr>
          <w:rFonts w:ascii="Times New Roman" w:hAnsi="Times New Roman" w:cs="Times New Roman"/>
          <w:i/>
          <w:sz w:val="24"/>
          <w:szCs w:val="24"/>
        </w:rPr>
        <w:t>Таблица 5</w:t>
      </w:r>
    </w:p>
    <w:tbl>
      <w:tblPr>
        <w:tblW w:w="9886" w:type="dxa"/>
        <w:tblLook w:val="00A0" w:firstRow="1" w:lastRow="0" w:firstColumn="1" w:lastColumn="0" w:noHBand="0" w:noVBand="0"/>
      </w:tblPr>
      <w:tblGrid>
        <w:gridCol w:w="3681"/>
        <w:gridCol w:w="1405"/>
        <w:gridCol w:w="1556"/>
        <w:gridCol w:w="3244"/>
      </w:tblGrid>
      <w:tr w:rsidR="000D732C" w:rsidTr="000D732C">
        <w:trPr>
          <w:trHeight w:val="615"/>
        </w:trPr>
        <w:tc>
          <w:tcPr>
            <w:tcW w:w="5086" w:type="dxa"/>
            <w:gridSpan w:val="2"/>
            <w:tcBorders>
              <w:top w:val="single" w:sz="4" w:space="0" w:color="auto"/>
              <w:left w:val="single" w:sz="4" w:space="0" w:color="auto"/>
              <w:bottom w:val="single" w:sz="4" w:space="0" w:color="auto"/>
              <w:right w:val="single" w:sz="4" w:space="0" w:color="auto"/>
            </w:tcBorders>
            <w:noWrap/>
            <w:vAlign w:val="center"/>
            <w:hideMark/>
          </w:tcPr>
          <w:p w:rsidR="000D732C" w:rsidRDefault="000D732C">
            <w:pPr>
              <w:jc w:val="center"/>
              <w:rPr>
                <w:b/>
                <w:bCs/>
                <w:color w:val="000000"/>
              </w:rPr>
            </w:pPr>
            <w:r>
              <w:rPr>
                <w:b/>
                <w:bCs/>
                <w:color w:val="000000"/>
              </w:rPr>
              <w:t>Балл</w:t>
            </w:r>
          </w:p>
        </w:tc>
        <w:tc>
          <w:tcPr>
            <w:tcW w:w="1556" w:type="dxa"/>
            <w:tcBorders>
              <w:top w:val="single" w:sz="4" w:space="0" w:color="auto"/>
              <w:left w:val="nil"/>
              <w:bottom w:val="single" w:sz="4" w:space="0" w:color="auto"/>
              <w:right w:val="single" w:sz="4" w:space="0" w:color="auto"/>
            </w:tcBorders>
            <w:vAlign w:val="center"/>
            <w:hideMark/>
          </w:tcPr>
          <w:p w:rsidR="000D732C" w:rsidRDefault="000D732C">
            <w:pPr>
              <w:jc w:val="center"/>
              <w:rPr>
                <w:b/>
                <w:bCs/>
                <w:color w:val="000000"/>
              </w:rPr>
            </w:pPr>
            <w:r>
              <w:rPr>
                <w:b/>
                <w:bCs/>
                <w:color w:val="000000"/>
              </w:rPr>
              <w:t>Условное обозначение</w:t>
            </w:r>
          </w:p>
        </w:tc>
        <w:tc>
          <w:tcPr>
            <w:tcW w:w="3244" w:type="dxa"/>
            <w:vMerge w:val="restart"/>
            <w:tcBorders>
              <w:top w:val="single" w:sz="4" w:space="0" w:color="auto"/>
              <w:left w:val="single" w:sz="4" w:space="0" w:color="auto"/>
              <w:bottom w:val="single" w:sz="4" w:space="0" w:color="auto"/>
              <w:right w:val="single" w:sz="4" w:space="0" w:color="auto"/>
            </w:tcBorders>
            <w:vAlign w:val="center"/>
            <w:hideMark/>
          </w:tcPr>
          <w:p w:rsidR="000D732C" w:rsidRDefault="000D732C">
            <w:pPr>
              <w:jc w:val="center"/>
              <w:rPr>
                <w:b/>
                <w:bCs/>
                <w:color w:val="000000"/>
              </w:rPr>
            </w:pPr>
            <w:r>
              <w:rPr>
                <w:b/>
                <w:bCs/>
                <w:color w:val="000000"/>
              </w:rPr>
              <w:t>Качественная характеристика финансового состояния</w:t>
            </w:r>
          </w:p>
        </w:tc>
      </w:tr>
      <w:tr w:rsidR="000D732C" w:rsidTr="000D732C">
        <w:trPr>
          <w:trHeight w:val="300"/>
        </w:trPr>
        <w:tc>
          <w:tcPr>
            <w:tcW w:w="3681" w:type="dxa"/>
            <w:vMerge w:val="restart"/>
            <w:tcBorders>
              <w:top w:val="nil"/>
              <w:left w:val="single" w:sz="4" w:space="0" w:color="auto"/>
              <w:bottom w:val="single" w:sz="4" w:space="0" w:color="auto"/>
              <w:right w:val="single" w:sz="4" w:space="0" w:color="auto"/>
            </w:tcBorders>
            <w:noWrap/>
            <w:vAlign w:val="center"/>
            <w:hideMark/>
          </w:tcPr>
          <w:p w:rsidR="000D732C" w:rsidRDefault="000D732C">
            <w:pPr>
              <w:jc w:val="center"/>
              <w:rPr>
                <w:b/>
                <w:bCs/>
                <w:color w:val="000000"/>
              </w:rPr>
            </w:pPr>
            <w:r>
              <w:rPr>
                <w:b/>
                <w:bCs/>
                <w:color w:val="000000"/>
              </w:rPr>
              <w:t>от</w:t>
            </w:r>
          </w:p>
        </w:tc>
        <w:tc>
          <w:tcPr>
            <w:tcW w:w="1403" w:type="dxa"/>
            <w:tcBorders>
              <w:top w:val="nil"/>
              <w:left w:val="nil"/>
              <w:bottom w:val="single" w:sz="4" w:space="0" w:color="auto"/>
              <w:right w:val="single" w:sz="4" w:space="0" w:color="auto"/>
            </w:tcBorders>
            <w:noWrap/>
            <w:vAlign w:val="center"/>
            <w:hideMark/>
          </w:tcPr>
          <w:p w:rsidR="000D732C" w:rsidRDefault="000D732C">
            <w:pPr>
              <w:jc w:val="center"/>
              <w:rPr>
                <w:b/>
                <w:bCs/>
                <w:color w:val="000000"/>
              </w:rPr>
            </w:pPr>
            <w:r>
              <w:rPr>
                <w:b/>
                <w:bCs/>
                <w:color w:val="000000"/>
              </w:rPr>
              <w:t>до</w:t>
            </w:r>
          </w:p>
        </w:tc>
        <w:tc>
          <w:tcPr>
            <w:tcW w:w="1556" w:type="dxa"/>
            <w:tcBorders>
              <w:top w:val="nil"/>
              <w:left w:val="nil"/>
              <w:bottom w:val="single" w:sz="4" w:space="0" w:color="auto"/>
              <w:right w:val="single" w:sz="4" w:space="0" w:color="auto"/>
            </w:tcBorders>
            <w:noWrap/>
            <w:vAlign w:val="center"/>
            <w:hideMark/>
          </w:tcPr>
          <w:p w:rsidR="000D732C" w:rsidRDefault="000D732C">
            <w:pPr>
              <w:jc w:val="center"/>
              <w:rPr>
                <w:b/>
                <w:bCs/>
                <w:color w:val="000000"/>
              </w:rPr>
            </w:pPr>
            <w:r>
              <w:rPr>
                <w:b/>
                <w:bCs/>
                <w:color w:val="000000"/>
              </w:rPr>
              <w:t>(рейтинг)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32C" w:rsidRDefault="000D732C">
            <w:pPr>
              <w:rPr>
                <w:b/>
                <w:bCs/>
                <w:color w:val="000000"/>
              </w:rPr>
            </w:pPr>
          </w:p>
        </w:tc>
      </w:tr>
      <w:tr w:rsidR="000D732C" w:rsidTr="000D732C">
        <w:trPr>
          <w:trHeight w:val="300"/>
        </w:trPr>
        <w:tc>
          <w:tcPr>
            <w:tcW w:w="0" w:type="auto"/>
            <w:vMerge/>
            <w:tcBorders>
              <w:top w:val="nil"/>
              <w:left w:val="single" w:sz="4" w:space="0" w:color="auto"/>
              <w:bottom w:val="single" w:sz="4" w:space="0" w:color="auto"/>
              <w:right w:val="single" w:sz="4" w:space="0" w:color="auto"/>
            </w:tcBorders>
            <w:vAlign w:val="center"/>
            <w:hideMark/>
          </w:tcPr>
          <w:p w:rsidR="000D732C" w:rsidRDefault="000D732C">
            <w:pPr>
              <w:rPr>
                <w:b/>
                <w:bCs/>
                <w:color w:val="000000"/>
              </w:rPr>
            </w:pPr>
          </w:p>
        </w:tc>
        <w:tc>
          <w:tcPr>
            <w:tcW w:w="1403" w:type="dxa"/>
            <w:tcBorders>
              <w:top w:val="nil"/>
              <w:left w:val="nil"/>
              <w:bottom w:val="single" w:sz="4" w:space="0" w:color="auto"/>
              <w:right w:val="single" w:sz="4" w:space="0" w:color="auto"/>
            </w:tcBorders>
            <w:noWrap/>
            <w:vAlign w:val="center"/>
            <w:hideMark/>
          </w:tcPr>
          <w:p w:rsidR="000D732C" w:rsidRDefault="000D732C">
            <w:pPr>
              <w:jc w:val="center"/>
              <w:rPr>
                <w:color w:val="000000"/>
              </w:rPr>
            </w:pPr>
            <w:r>
              <w:rPr>
                <w:color w:val="000000"/>
              </w:rPr>
              <w:t>(</w:t>
            </w:r>
            <w:proofErr w:type="spellStart"/>
            <w:r>
              <w:rPr>
                <w:color w:val="000000"/>
              </w:rPr>
              <w:t>включ</w:t>
            </w:r>
            <w:proofErr w:type="spellEnd"/>
            <w:r>
              <w:rPr>
                <w:color w:val="000000"/>
              </w:rPr>
              <w:t>.)</w:t>
            </w:r>
          </w:p>
        </w:tc>
        <w:tc>
          <w:tcPr>
            <w:tcW w:w="1556" w:type="dxa"/>
            <w:tcBorders>
              <w:top w:val="nil"/>
              <w:left w:val="nil"/>
              <w:bottom w:val="single" w:sz="4" w:space="0" w:color="auto"/>
              <w:right w:val="single" w:sz="4" w:space="0" w:color="auto"/>
            </w:tcBorders>
            <w:noWrap/>
            <w:vAlign w:val="center"/>
            <w:hideMark/>
          </w:tcPr>
          <w:p w:rsidR="000D732C" w:rsidRDefault="000D732C">
            <w:pPr>
              <w:jc w:val="center"/>
              <w:rPr>
                <w:b/>
                <w:bCs/>
                <w:color w:val="000000"/>
              </w:rPr>
            </w:pPr>
            <w:r>
              <w:rPr>
                <w:b/>
                <w:bCs/>
                <w:color w:val="000000"/>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732C" w:rsidRDefault="000D732C">
            <w:pPr>
              <w:rPr>
                <w:b/>
                <w:bCs/>
                <w:color w:val="000000"/>
              </w:rPr>
            </w:pPr>
          </w:p>
        </w:tc>
      </w:tr>
      <w:tr w:rsidR="000D732C" w:rsidTr="000D732C">
        <w:trPr>
          <w:trHeight w:val="300"/>
        </w:trPr>
        <w:tc>
          <w:tcPr>
            <w:tcW w:w="3681" w:type="dxa"/>
            <w:tcBorders>
              <w:top w:val="nil"/>
              <w:left w:val="single" w:sz="4" w:space="0" w:color="auto"/>
              <w:bottom w:val="single" w:sz="4" w:space="0" w:color="auto"/>
              <w:right w:val="single" w:sz="4" w:space="0" w:color="auto"/>
            </w:tcBorders>
            <w:vAlign w:val="center"/>
            <w:hideMark/>
          </w:tcPr>
          <w:p w:rsidR="000D732C" w:rsidRDefault="000D732C">
            <w:pPr>
              <w:jc w:val="center"/>
              <w:rPr>
                <w:color w:val="000000"/>
              </w:rPr>
            </w:pPr>
            <w:r>
              <w:rPr>
                <w:color w:val="000000"/>
              </w:rPr>
              <w:t>1</w:t>
            </w:r>
          </w:p>
        </w:tc>
        <w:tc>
          <w:tcPr>
            <w:tcW w:w="1403" w:type="dxa"/>
            <w:tcBorders>
              <w:top w:val="nil"/>
              <w:left w:val="nil"/>
              <w:bottom w:val="single" w:sz="4" w:space="0" w:color="auto"/>
              <w:right w:val="single" w:sz="4" w:space="0" w:color="auto"/>
            </w:tcBorders>
            <w:vAlign w:val="center"/>
            <w:hideMark/>
          </w:tcPr>
          <w:p w:rsidR="000D732C" w:rsidRDefault="000D732C">
            <w:pPr>
              <w:jc w:val="center"/>
              <w:rPr>
                <w:color w:val="000000"/>
              </w:rPr>
            </w:pPr>
            <w:r>
              <w:rPr>
                <w:color w:val="000000"/>
              </w:rPr>
              <w:t>0,8</w:t>
            </w:r>
          </w:p>
        </w:tc>
        <w:tc>
          <w:tcPr>
            <w:tcW w:w="1556" w:type="dxa"/>
            <w:tcBorders>
              <w:top w:val="nil"/>
              <w:left w:val="nil"/>
              <w:bottom w:val="single" w:sz="4" w:space="0" w:color="auto"/>
              <w:right w:val="single" w:sz="4" w:space="0" w:color="auto"/>
            </w:tcBorders>
            <w:vAlign w:val="center"/>
            <w:hideMark/>
          </w:tcPr>
          <w:p w:rsidR="000D732C" w:rsidRDefault="000D732C" w:rsidP="000D732C">
            <w:pPr>
              <w:ind w:firstLineChars="200" w:firstLine="480"/>
              <w:rPr>
                <w:color w:val="000000"/>
              </w:rPr>
            </w:pPr>
            <w:r>
              <w:rPr>
                <w:color w:val="000000"/>
              </w:rPr>
              <w:t>AAA</w:t>
            </w:r>
          </w:p>
        </w:tc>
        <w:tc>
          <w:tcPr>
            <w:tcW w:w="3244" w:type="dxa"/>
            <w:tcBorders>
              <w:top w:val="single" w:sz="4" w:space="0" w:color="auto"/>
              <w:left w:val="nil"/>
              <w:bottom w:val="single" w:sz="4" w:space="0" w:color="auto"/>
              <w:right w:val="single" w:sz="4" w:space="0" w:color="auto"/>
            </w:tcBorders>
            <w:vAlign w:val="center"/>
            <w:hideMark/>
          </w:tcPr>
          <w:p w:rsidR="000D732C" w:rsidRDefault="000D732C">
            <w:pPr>
              <w:rPr>
                <w:color w:val="000000"/>
              </w:rPr>
            </w:pPr>
            <w:r>
              <w:rPr>
                <w:color w:val="000000"/>
              </w:rPr>
              <w:t>Отличное</w:t>
            </w:r>
          </w:p>
        </w:tc>
      </w:tr>
      <w:tr w:rsidR="000D732C" w:rsidTr="000D732C">
        <w:trPr>
          <w:trHeight w:val="300"/>
        </w:trPr>
        <w:tc>
          <w:tcPr>
            <w:tcW w:w="3681" w:type="dxa"/>
            <w:tcBorders>
              <w:top w:val="nil"/>
              <w:left w:val="single" w:sz="4" w:space="0" w:color="auto"/>
              <w:bottom w:val="single" w:sz="4" w:space="0" w:color="auto"/>
              <w:right w:val="single" w:sz="4" w:space="0" w:color="auto"/>
            </w:tcBorders>
            <w:vAlign w:val="center"/>
            <w:hideMark/>
          </w:tcPr>
          <w:p w:rsidR="000D732C" w:rsidRDefault="000D732C">
            <w:pPr>
              <w:jc w:val="center"/>
              <w:rPr>
                <w:color w:val="000000"/>
              </w:rPr>
            </w:pPr>
            <w:r>
              <w:rPr>
                <w:color w:val="000000"/>
              </w:rPr>
              <w:t>0,8</w:t>
            </w:r>
          </w:p>
        </w:tc>
        <w:tc>
          <w:tcPr>
            <w:tcW w:w="1403" w:type="dxa"/>
            <w:tcBorders>
              <w:top w:val="nil"/>
              <w:left w:val="nil"/>
              <w:bottom w:val="single" w:sz="4" w:space="0" w:color="auto"/>
              <w:right w:val="single" w:sz="4" w:space="0" w:color="auto"/>
            </w:tcBorders>
            <w:vAlign w:val="center"/>
            <w:hideMark/>
          </w:tcPr>
          <w:p w:rsidR="000D732C" w:rsidRDefault="000D732C">
            <w:pPr>
              <w:jc w:val="center"/>
              <w:rPr>
                <w:color w:val="000000"/>
              </w:rPr>
            </w:pPr>
            <w:r>
              <w:rPr>
                <w:color w:val="000000"/>
              </w:rPr>
              <w:t>0,6</w:t>
            </w:r>
          </w:p>
        </w:tc>
        <w:tc>
          <w:tcPr>
            <w:tcW w:w="1556" w:type="dxa"/>
            <w:tcBorders>
              <w:top w:val="nil"/>
              <w:left w:val="nil"/>
              <w:bottom w:val="single" w:sz="4" w:space="0" w:color="auto"/>
              <w:right w:val="single" w:sz="4" w:space="0" w:color="auto"/>
            </w:tcBorders>
            <w:vAlign w:val="center"/>
            <w:hideMark/>
          </w:tcPr>
          <w:p w:rsidR="000D732C" w:rsidRDefault="000D732C" w:rsidP="000D732C">
            <w:pPr>
              <w:ind w:firstLineChars="200" w:firstLine="480"/>
              <w:rPr>
                <w:color w:val="000000"/>
              </w:rPr>
            </w:pPr>
            <w:r>
              <w:rPr>
                <w:color w:val="000000"/>
              </w:rPr>
              <w:t>AA</w:t>
            </w:r>
          </w:p>
        </w:tc>
        <w:tc>
          <w:tcPr>
            <w:tcW w:w="3244" w:type="dxa"/>
            <w:tcBorders>
              <w:top w:val="single" w:sz="4" w:space="0" w:color="auto"/>
              <w:left w:val="nil"/>
              <w:bottom w:val="single" w:sz="4" w:space="0" w:color="auto"/>
              <w:right w:val="single" w:sz="4" w:space="0" w:color="auto"/>
            </w:tcBorders>
            <w:vAlign w:val="center"/>
            <w:hideMark/>
          </w:tcPr>
          <w:p w:rsidR="000D732C" w:rsidRDefault="000D732C">
            <w:pPr>
              <w:rPr>
                <w:color w:val="000000"/>
              </w:rPr>
            </w:pPr>
            <w:r>
              <w:rPr>
                <w:color w:val="000000"/>
              </w:rPr>
              <w:t>Очень хорошее</w:t>
            </w:r>
          </w:p>
        </w:tc>
      </w:tr>
      <w:tr w:rsidR="000D732C" w:rsidTr="000D732C">
        <w:trPr>
          <w:trHeight w:val="300"/>
        </w:trPr>
        <w:tc>
          <w:tcPr>
            <w:tcW w:w="3681" w:type="dxa"/>
            <w:tcBorders>
              <w:top w:val="nil"/>
              <w:left w:val="single" w:sz="4" w:space="0" w:color="auto"/>
              <w:bottom w:val="single" w:sz="4" w:space="0" w:color="auto"/>
              <w:right w:val="single" w:sz="4" w:space="0" w:color="auto"/>
            </w:tcBorders>
            <w:vAlign w:val="center"/>
            <w:hideMark/>
          </w:tcPr>
          <w:p w:rsidR="000D732C" w:rsidRDefault="000D732C">
            <w:pPr>
              <w:jc w:val="center"/>
              <w:rPr>
                <w:color w:val="000000"/>
              </w:rPr>
            </w:pPr>
            <w:r>
              <w:rPr>
                <w:color w:val="000000"/>
              </w:rPr>
              <w:t>0,6</w:t>
            </w:r>
          </w:p>
        </w:tc>
        <w:tc>
          <w:tcPr>
            <w:tcW w:w="1403" w:type="dxa"/>
            <w:tcBorders>
              <w:top w:val="nil"/>
              <w:left w:val="nil"/>
              <w:bottom w:val="single" w:sz="4" w:space="0" w:color="auto"/>
              <w:right w:val="single" w:sz="4" w:space="0" w:color="auto"/>
            </w:tcBorders>
            <w:vAlign w:val="center"/>
            <w:hideMark/>
          </w:tcPr>
          <w:p w:rsidR="000D732C" w:rsidRDefault="000D732C">
            <w:pPr>
              <w:jc w:val="center"/>
              <w:rPr>
                <w:color w:val="000000"/>
              </w:rPr>
            </w:pPr>
            <w:r>
              <w:rPr>
                <w:color w:val="000000"/>
              </w:rPr>
              <w:t>0,4</w:t>
            </w:r>
          </w:p>
        </w:tc>
        <w:tc>
          <w:tcPr>
            <w:tcW w:w="1556" w:type="dxa"/>
            <w:tcBorders>
              <w:top w:val="nil"/>
              <w:left w:val="nil"/>
              <w:bottom w:val="single" w:sz="4" w:space="0" w:color="auto"/>
              <w:right w:val="single" w:sz="4" w:space="0" w:color="auto"/>
            </w:tcBorders>
            <w:vAlign w:val="center"/>
            <w:hideMark/>
          </w:tcPr>
          <w:p w:rsidR="000D732C" w:rsidRDefault="000D732C" w:rsidP="000D732C">
            <w:pPr>
              <w:ind w:firstLineChars="200" w:firstLine="480"/>
              <w:rPr>
                <w:color w:val="000000"/>
              </w:rPr>
            </w:pPr>
            <w:r>
              <w:rPr>
                <w:color w:val="000000"/>
              </w:rPr>
              <w:t>A</w:t>
            </w:r>
          </w:p>
        </w:tc>
        <w:tc>
          <w:tcPr>
            <w:tcW w:w="3244" w:type="dxa"/>
            <w:tcBorders>
              <w:top w:val="single" w:sz="4" w:space="0" w:color="auto"/>
              <w:left w:val="nil"/>
              <w:bottom w:val="single" w:sz="4" w:space="0" w:color="auto"/>
              <w:right w:val="single" w:sz="4" w:space="0" w:color="auto"/>
            </w:tcBorders>
            <w:vAlign w:val="center"/>
            <w:hideMark/>
          </w:tcPr>
          <w:p w:rsidR="000D732C" w:rsidRDefault="000D732C">
            <w:pPr>
              <w:rPr>
                <w:color w:val="000000"/>
              </w:rPr>
            </w:pPr>
            <w:r>
              <w:rPr>
                <w:color w:val="000000"/>
              </w:rPr>
              <w:t>Хорошее</w:t>
            </w:r>
          </w:p>
        </w:tc>
      </w:tr>
      <w:tr w:rsidR="000D732C" w:rsidTr="000D732C">
        <w:trPr>
          <w:trHeight w:val="300"/>
        </w:trPr>
        <w:tc>
          <w:tcPr>
            <w:tcW w:w="3681" w:type="dxa"/>
            <w:tcBorders>
              <w:top w:val="nil"/>
              <w:left w:val="single" w:sz="4" w:space="0" w:color="auto"/>
              <w:bottom w:val="single" w:sz="4" w:space="0" w:color="auto"/>
              <w:right w:val="single" w:sz="4" w:space="0" w:color="auto"/>
            </w:tcBorders>
            <w:vAlign w:val="center"/>
            <w:hideMark/>
          </w:tcPr>
          <w:p w:rsidR="000D732C" w:rsidRDefault="000D732C">
            <w:pPr>
              <w:jc w:val="center"/>
              <w:rPr>
                <w:color w:val="000000"/>
              </w:rPr>
            </w:pPr>
            <w:r>
              <w:rPr>
                <w:color w:val="000000"/>
              </w:rPr>
              <w:t>0,4</w:t>
            </w:r>
          </w:p>
        </w:tc>
        <w:tc>
          <w:tcPr>
            <w:tcW w:w="1403" w:type="dxa"/>
            <w:tcBorders>
              <w:top w:val="nil"/>
              <w:left w:val="nil"/>
              <w:bottom w:val="single" w:sz="4" w:space="0" w:color="auto"/>
              <w:right w:val="single" w:sz="4" w:space="0" w:color="auto"/>
            </w:tcBorders>
            <w:vAlign w:val="center"/>
            <w:hideMark/>
          </w:tcPr>
          <w:p w:rsidR="000D732C" w:rsidRDefault="000D732C">
            <w:pPr>
              <w:jc w:val="center"/>
              <w:rPr>
                <w:color w:val="000000"/>
              </w:rPr>
            </w:pPr>
            <w:r>
              <w:rPr>
                <w:color w:val="000000"/>
              </w:rPr>
              <w:t>0,2</w:t>
            </w:r>
          </w:p>
        </w:tc>
        <w:tc>
          <w:tcPr>
            <w:tcW w:w="1556" w:type="dxa"/>
            <w:tcBorders>
              <w:top w:val="nil"/>
              <w:left w:val="nil"/>
              <w:bottom w:val="single" w:sz="4" w:space="0" w:color="auto"/>
              <w:right w:val="single" w:sz="4" w:space="0" w:color="auto"/>
            </w:tcBorders>
            <w:vAlign w:val="center"/>
            <w:hideMark/>
          </w:tcPr>
          <w:p w:rsidR="000D732C" w:rsidRDefault="000D732C" w:rsidP="000D732C">
            <w:pPr>
              <w:ind w:firstLineChars="200" w:firstLine="480"/>
              <w:rPr>
                <w:color w:val="000000"/>
              </w:rPr>
            </w:pPr>
            <w:r>
              <w:rPr>
                <w:color w:val="000000"/>
              </w:rPr>
              <w:t>BBB</w:t>
            </w:r>
          </w:p>
        </w:tc>
        <w:tc>
          <w:tcPr>
            <w:tcW w:w="3244" w:type="dxa"/>
            <w:tcBorders>
              <w:top w:val="single" w:sz="4" w:space="0" w:color="auto"/>
              <w:left w:val="nil"/>
              <w:bottom w:val="single" w:sz="4" w:space="0" w:color="auto"/>
              <w:right w:val="single" w:sz="4" w:space="0" w:color="auto"/>
            </w:tcBorders>
            <w:vAlign w:val="center"/>
            <w:hideMark/>
          </w:tcPr>
          <w:p w:rsidR="000D732C" w:rsidRDefault="000D732C">
            <w:pPr>
              <w:rPr>
                <w:color w:val="000000"/>
              </w:rPr>
            </w:pPr>
            <w:r>
              <w:rPr>
                <w:color w:val="000000"/>
              </w:rPr>
              <w:t>Положительное</w:t>
            </w:r>
          </w:p>
        </w:tc>
      </w:tr>
      <w:tr w:rsidR="000D732C" w:rsidTr="000D732C">
        <w:trPr>
          <w:trHeight w:val="300"/>
        </w:trPr>
        <w:tc>
          <w:tcPr>
            <w:tcW w:w="3681" w:type="dxa"/>
            <w:tcBorders>
              <w:top w:val="nil"/>
              <w:left w:val="single" w:sz="4" w:space="0" w:color="auto"/>
              <w:bottom w:val="single" w:sz="4" w:space="0" w:color="auto"/>
              <w:right w:val="single" w:sz="4" w:space="0" w:color="auto"/>
            </w:tcBorders>
            <w:vAlign w:val="center"/>
            <w:hideMark/>
          </w:tcPr>
          <w:p w:rsidR="000D732C" w:rsidRDefault="000D732C">
            <w:pPr>
              <w:jc w:val="center"/>
              <w:rPr>
                <w:color w:val="000000"/>
              </w:rPr>
            </w:pPr>
            <w:r>
              <w:rPr>
                <w:color w:val="000000"/>
              </w:rPr>
              <w:t>0,2</w:t>
            </w:r>
          </w:p>
        </w:tc>
        <w:tc>
          <w:tcPr>
            <w:tcW w:w="1403" w:type="dxa"/>
            <w:tcBorders>
              <w:top w:val="nil"/>
              <w:left w:val="nil"/>
              <w:bottom w:val="single" w:sz="4" w:space="0" w:color="auto"/>
              <w:right w:val="single" w:sz="4" w:space="0" w:color="auto"/>
            </w:tcBorders>
            <w:vAlign w:val="center"/>
            <w:hideMark/>
          </w:tcPr>
          <w:p w:rsidR="000D732C" w:rsidRDefault="000D732C">
            <w:pPr>
              <w:jc w:val="center"/>
              <w:rPr>
                <w:color w:val="000000"/>
              </w:rPr>
            </w:pPr>
            <w:r>
              <w:rPr>
                <w:color w:val="000000"/>
              </w:rPr>
              <w:t>0</w:t>
            </w:r>
          </w:p>
        </w:tc>
        <w:tc>
          <w:tcPr>
            <w:tcW w:w="1556" w:type="dxa"/>
            <w:tcBorders>
              <w:top w:val="nil"/>
              <w:left w:val="nil"/>
              <w:bottom w:val="single" w:sz="4" w:space="0" w:color="auto"/>
              <w:right w:val="single" w:sz="4" w:space="0" w:color="auto"/>
            </w:tcBorders>
            <w:vAlign w:val="center"/>
            <w:hideMark/>
          </w:tcPr>
          <w:p w:rsidR="000D732C" w:rsidRDefault="000D732C" w:rsidP="000D732C">
            <w:pPr>
              <w:ind w:firstLineChars="200" w:firstLine="480"/>
              <w:rPr>
                <w:color w:val="000000"/>
              </w:rPr>
            </w:pPr>
            <w:r>
              <w:rPr>
                <w:color w:val="000000"/>
              </w:rPr>
              <w:t>BB</w:t>
            </w:r>
          </w:p>
        </w:tc>
        <w:tc>
          <w:tcPr>
            <w:tcW w:w="3244" w:type="dxa"/>
            <w:tcBorders>
              <w:top w:val="single" w:sz="4" w:space="0" w:color="auto"/>
              <w:left w:val="nil"/>
              <w:bottom w:val="single" w:sz="4" w:space="0" w:color="auto"/>
              <w:right w:val="single" w:sz="4" w:space="0" w:color="auto"/>
            </w:tcBorders>
            <w:vAlign w:val="center"/>
            <w:hideMark/>
          </w:tcPr>
          <w:p w:rsidR="000D732C" w:rsidRDefault="000D732C">
            <w:pPr>
              <w:rPr>
                <w:color w:val="000000"/>
              </w:rPr>
            </w:pPr>
            <w:r>
              <w:rPr>
                <w:color w:val="000000"/>
              </w:rPr>
              <w:t>Нормальное</w:t>
            </w:r>
          </w:p>
        </w:tc>
      </w:tr>
      <w:tr w:rsidR="000D732C" w:rsidTr="000D732C">
        <w:trPr>
          <w:trHeight w:val="300"/>
        </w:trPr>
        <w:tc>
          <w:tcPr>
            <w:tcW w:w="3681" w:type="dxa"/>
            <w:tcBorders>
              <w:top w:val="nil"/>
              <w:left w:val="single" w:sz="4" w:space="0" w:color="auto"/>
              <w:bottom w:val="single" w:sz="4" w:space="0" w:color="auto"/>
              <w:right w:val="single" w:sz="4" w:space="0" w:color="auto"/>
            </w:tcBorders>
            <w:vAlign w:val="center"/>
            <w:hideMark/>
          </w:tcPr>
          <w:p w:rsidR="000D732C" w:rsidRDefault="000D732C">
            <w:pPr>
              <w:jc w:val="center"/>
              <w:rPr>
                <w:color w:val="000000"/>
              </w:rPr>
            </w:pPr>
            <w:r>
              <w:rPr>
                <w:color w:val="000000"/>
              </w:rPr>
              <w:t>-0,1</w:t>
            </w:r>
          </w:p>
        </w:tc>
        <w:tc>
          <w:tcPr>
            <w:tcW w:w="1403" w:type="dxa"/>
            <w:tcBorders>
              <w:top w:val="nil"/>
              <w:left w:val="nil"/>
              <w:bottom w:val="single" w:sz="4" w:space="0" w:color="auto"/>
              <w:right w:val="single" w:sz="4" w:space="0" w:color="auto"/>
            </w:tcBorders>
            <w:vAlign w:val="center"/>
            <w:hideMark/>
          </w:tcPr>
          <w:p w:rsidR="000D732C" w:rsidRDefault="000D732C">
            <w:pPr>
              <w:jc w:val="center"/>
              <w:rPr>
                <w:color w:val="000000"/>
              </w:rPr>
            </w:pPr>
            <w:r>
              <w:rPr>
                <w:color w:val="000000"/>
              </w:rPr>
              <w:t>-0,2</w:t>
            </w:r>
          </w:p>
        </w:tc>
        <w:tc>
          <w:tcPr>
            <w:tcW w:w="1556" w:type="dxa"/>
            <w:tcBorders>
              <w:top w:val="nil"/>
              <w:left w:val="nil"/>
              <w:bottom w:val="single" w:sz="4" w:space="0" w:color="auto"/>
              <w:right w:val="single" w:sz="4" w:space="0" w:color="auto"/>
            </w:tcBorders>
            <w:vAlign w:val="center"/>
            <w:hideMark/>
          </w:tcPr>
          <w:p w:rsidR="000D732C" w:rsidRDefault="000D732C" w:rsidP="000D732C">
            <w:pPr>
              <w:ind w:firstLineChars="200" w:firstLine="480"/>
              <w:rPr>
                <w:color w:val="000000"/>
              </w:rPr>
            </w:pPr>
            <w:r>
              <w:rPr>
                <w:color w:val="000000"/>
              </w:rPr>
              <w:t>B</w:t>
            </w:r>
          </w:p>
        </w:tc>
        <w:tc>
          <w:tcPr>
            <w:tcW w:w="3244" w:type="dxa"/>
            <w:tcBorders>
              <w:top w:val="single" w:sz="4" w:space="0" w:color="auto"/>
              <w:left w:val="nil"/>
              <w:bottom w:val="single" w:sz="4" w:space="0" w:color="auto"/>
              <w:right w:val="single" w:sz="4" w:space="0" w:color="auto"/>
            </w:tcBorders>
            <w:vAlign w:val="center"/>
            <w:hideMark/>
          </w:tcPr>
          <w:p w:rsidR="000D732C" w:rsidRDefault="000D732C">
            <w:pPr>
              <w:rPr>
                <w:color w:val="000000"/>
              </w:rPr>
            </w:pPr>
            <w:r>
              <w:rPr>
                <w:color w:val="000000"/>
              </w:rPr>
              <w:t>Удовлетворительное</w:t>
            </w:r>
          </w:p>
        </w:tc>
      </w:tr>
      <w:tr w:rsidR="000D732C" w:rsidTr="000D732C">
        <w:trPr>
          <w:trHeight w:val="300"/>
        </w:trPr>
        <w:tc>
          <w:tcPr>
            <w:tcW w:w="3681" w:type="dxa"/>
            <w:tcBorders>
              <w:top w:val="nil"/>
              <w:left w:val="single" w:sz="4" w:space="0" w:color="auto"/>
              <w:bottom w:val="single" w:sz="4" w:space="0" w:color="auto"/>
              <w:right w:val="single" w:sz="4" w:space="0" w:color="auto"/>
            </w:tcBorders>
            <w:vAlign w:val="center"/>
            <w:hideMark/>
          </w:tcPr>
          <w:p w:rsidR="000D732C" w:rsidRDefault="000D732C">
            <w:pPr>
              <w:jc w:val="center"/>
              <w:rPr>
                <w:color w:val="000000"/>
              </w:rPr>
            </w:pPr>
            <w:r>
              <w:rPr>
                <w:color w:val="000000"/>
              </w:rPr>
              <w:t>-0,2</w:t>
            </w:r>
          </w:p>
        </w:tc>
        <w:tc>
          <w:tcPr>
            <w:tcW w:w="1403" w:type="dxa"/>
            <w:tcBorders>
              <w:top w:val="nil"/>
              <w:left w:val="nil"/>
              <w:bottom w:val="single" w:sz="4" w:space="0" w:color="auto"/>
              <w:right w:val="single" w:sz="4" w:space="0" w:color="auto"/>
            </w:tcBorders>
            <w:vAlign w:val="center"/>
            <w:hideMark/>
          </w:tcPr>
          <w:p w:rsidR="000D732C" w:rsidRDefault="000D732C">
            <w:pPr>
              <w:jc w:val="center"/>
              <w:rPr>
                <w:color w:val="000000"/>
              </w:rPr>
            </w:pPr>
            <w:r>
              <w:rPr>
                <w:color w:val="000000"/>
              </w:rPr>
              <w:t>-0,4</w:t>
            </w:r>
          </w:p>
        </w:tc>
        <w:tc>
          <w:tcPr>
            <w:tcW w:w="1556" w:type="dxa"/>
            <w:tcBorders>
              <w:top w:val="nil"/>
              <w:left w:val="nil"/>
              <w:bottom w:val="single" w:sz="4" w:space="0" w:color="auto"/>
              <w:right w:val="single" w:sz="4" w:space="0" w:color="auto"/>
            </w:tcBorders>
            <w:vAlign w:val="center"/>
            <w:hideMark/>
          </w:tcPr>
          <w:p w:rsidR="000D732C" w:rsidRDefault="000D732C" w:rsidP="000D732C">
            <w:pPr>
              <w:ind w:firstLineChars="200" w:firstLine="480"/>
              <w:rPr>
                <w:color w:val="000000"/>
              </w:rPr>
            </w:pPr>
            <w:r>
              <w:rPr>
                <w:color w:val="000000"/>
              </w:rPr>
              <w:t>CCC</w:t>
            </w:r>
          </w:p>
        </w:tc>
        <w:tc>
          <w:tcPr>
            <w:tcW w:w="3244" w:type="dxa"/>
            <w:tcBorders>
              <w:top w:val="single" w:sz="4" w:space="0" w:color="auto"/>
              <w:left w:val="nil"/>
              <w:bottom w:val="single" w:sz="4" w:space="0" w:color="auto"/>
              <w:right w:val="single" w:sz="4" w:space="0" w:color="auto"/>
            </w:tcBorders>
            <w:vAlign w:val="center"/>
            <w:hideMark/>
          </w:tcPr>
          <w:p w:rsidR="000D732C" w:rsidRDefault="000D732C">
            <w:pPr>
              <w:rPr>
                <w:color w:val="000000"/>
              </w:rPr>
            </w:pPr>
            <w:r>
              <w:rPr>
                <w:color w:val="000000"/>
              </w:rPr>
              <w:t>Неудовлетворительное</w:t>
            </w:r>
          </w:p>
        </w:tc>
      </w:tr>
      <w:tr w:rsidR="000D732C" w:rsidTr="000D732C">
        <w:trPr>
          <w:trHeight w:val="300"/>
        </w:trPr>
        <w:tc>
          <w:tcPr>
            <w:tcW w:w="3681" w:type="dxa"/>
            <w:tcBorders>
              <w:top w:val="nil"/>
              <w:left w:val="single" w:sz="4" w:space="0" w:color="auto"/>
              <w:bottom w:val="single" w:sz="4" w:space="0" w:color="auto"/>
              <w:right w:val="single" w:sz="4" w:space="0" w:color="auto"/>
            </w:tcBorders>
            <w:vAlign w:val="center"/>
            <w:hideMark/>
          </w:tcPr>
          <w:p w:rsidR="000D732C" w:rsidRDefault="000D732C">
            <w:pPr>
              <w:jc w:val="center"/>
              <w:rPr>
                <w:color w:val="000000"/>
              </w:rPr>
            </w:pPr>
            <w:r>
              <w:rPr>
                <w:color w:val="000000"/>
              </w:rPr>
              <w:t>-0,4</w:t>
            </w:r>
          </w:p>
        </w:tc>
        <w:tc>
          <w:tcPr>
            <w:tcW w:w="1403" w:type="dxa"/>
            <w:tcBorders>
              <w:top w:val="nil"/>
              <w:left w:val="nil"/>
              <w:bottom w:val="single" w:sz="4" w:space="0" w:color="auto"/>
              <w:right w:val="single" w:sz="4" w:space="0" w:color="auto"/>
            </w:tcBorders>
            <w:vAlign w:val="center"/>
            <w:hideMark/>
          </w:tcPr>
          <w:p w:rsidR="000D732C" w:rsidRDefault="000D732C">
            <w:pPr>
              <w:jc w:val="center"/>
              <w:rPr>
                <w:color w:val="000000"/>
              </w:rPr>
            </w:pPr>
            <w:r>
              <w:rPr>
                <w:color w:val="000000"/>
              </w:rPr>
              <w:t>-0,6</w:t>
            </w:r>
          </w:p>
        </w:tc>
        <w:tc>
          <w:tcPr>
            <w:tcW w:w="1556" w:type="dxa"/>
            <w:tcBorders>
              <w:top w:val="nil"/>
              <w:left w:val="nil"/>
              <w:bottom w:val="single" w:sz="4" w:space="0" w:color="auto"/>
              <w:right w:val="single" w:sz="4" w:space="0" w:color="auto"/>
            </w:tcBorders>
            <w:vAlign w:val="center"/>
            <w:hideMark/>
          </w:tcPr>
          <w:p w:rsidR="000D732C" w:rsidRDefault="000D732C" w:rsidP="000D732C">
            <w:pPr>
              <w:ind w:firstLineChars="200" w:firstLine="480"/>
              <w:rPr>
                <w:color w:val="000000"/>
              </w:rPr>
            </w:pPr>
            <w:r>
              <w:rPr>
                <w:color w:val="000000"/>
              </w:rPr>
              <w:t>CC</w:t>
            </w:r>
          </w:p>
        </w:tc>
        <w:tc>
          <w:tcPr>
            <w:tcW w:w="3244" w:type="dxa"/>
            <w:tcBorders>
              <w:top w:val="single" w:sz="4" w:space="0" w:color="auto"/>
              <w:left w:val="nil"/>
              <w:bottom w:val="single" w:sz="4" w:space="0" w:color="auto"/>
              <w:right w:val="single" w:sz="4" w:space="0" w:color="auto"/>
            </w:tcBorders>
            <w:vAlign w:val="center"/>
            <w:hideMark/>
          </w:tcPr>
          <w:p w:rsidR="000D732C" w:rsidRDefault="000D732C">
            <w:pPr>
              <w:rPr>
                <w:color w:val="000000"/>
              </w:rPr>
            </w:pPr>
            <w:r>
              <w:rPr>
                <w:color w:val="000000"/>
              </w:rPr>
              <w:t>Плохое</w:t>
            </w:r>
          </w:p>
        </w:tc>
      </w:tr>
      <w:tr w:rsidR="000D732C" w:rsidTr="000D732C">
        <w:trPr>
          <w:trHeight w:val="300"/>
        </w:trPr>
        <w:tc>
          <w:tcPr>
            <w:tcW w:w="3681" w:type="dxa"/>
            <w:tcBorders>
              <w:top w:val="nil"/>
              <w:left w:val="single" w:sz="4" w:space="0" w:color="auto"/>
              <w:bottom w:val="single" w:sz="4" w:space="0" w:color="auto"/>
              <w:right w:val="single" w:sz="4" w:space="0" w:color="auto"/>
            </w:tcBorders>
            <w:vAlign w:val="center"/>
            <w:hideMark/>
          </w:tcPr>
          <w:p w:rsidR="000D732C" w:rsidRDefault="000D732C">
            <w:pPr>
              <w:jc w:val="center"/>
              <w:rPr>
                <w:color w:val="000000"/>
              </w:rPr>
            </w:pPr>
            <w:r>
              <w:rPr>
                <w:color w:val="000000"/>
              </w:rPr>
              <w:t>-0,6</w:t>
            </w:r>
          </w:p>
        </w:tc>
        <w:tc>
          <w:tcPr>
            <w:tcW w:w="1403" w:type="dxa"/>
            <w:tcBorders>
              <w:top w:val="nil"/>
              <w:left w:val="nil"/>
              <w:bottom w:val="single" w:sz="4" w:space="0" w:color="auto"/>
              <w:right w:val="single" w:sz="4" w:space="0" w:color="auto"/>
            </w:tcBorders>
            <w:vAlign w:val="center"/>
            <w:hideMark/>
          </w:tcPr>
          <w:p w:rsidR="000D732C" w:rsidRDefault="000D732C">
            <w:pPr>
              <w:jc w:val="center"/>
              <w:rPr>
                <w:color w:val="000000"/>
              </w:rPr>
            </w:pPr>
            <w:r>
              <w:rPr>
                <w:color w:val="000000"/>
              </w:rPr>
              <w:t>-0,8</w:t>
            </w:r>
          </w:p>
        </w:tc>
        <w:tc>
          <w:tcPr>
            <w:tcW w:w="1556" w:type="dxa"/>
            <w:tcBorders>
              <w:top w:val="nil"/>
              <w:left w:val="nil"/>
              <w:bottom w:val="single" w:sz="4" w:space="0" w:color="auto"/>
              <w:right w:val="single" w:sz="4" w:space="0" w:color="auto"/>
            </w:tcBorders>
            <w:vAlign w:val="center"/>
            <w:hideMark/>
          </w:tcPr>
          <w:p w:rsidR="000D732C" w:rsidRDefault="000D732C" w:rsidP="000D732C">
            <w:pPr>
              <w:ind w:firstLineChars="200" w:firstLine="480"/>
              <w:rPr>
                <w:color w:val="000000"/>
              </w:rPr>
            </w:pPr>
            <w:r>
              <w:rPr>
                <w:color w:val="000000"/>
              </w:rPr>
              <w:t>C</w:t>
            </w:r>
          </w:p>
        </w:tc>
        <w:tc>
          <w:tcPr>
            <w:tcW w:w="3244" w:type="dxa"/>
            <w:tcBorders>
              <w:top w:val="single" w:sz="4" w:space="0" w:color="auto"/>
              <w:left w:val="nil"/>
              <w:bottom w:val="single" w:sz="4" w:space="0" w:color="auto"/>
              <w:right w:val="single" w:sz="4" w:space="0" w:color="auto"/>
            </w:tcBorders>
            <w:vAlign w:val="center"/>
            <w:hideMark/>
          </w:tcPr>
          <w:p w:rsidR="000D732C" w:rsidRDefault="000D732C">
            <w:pPr>
              <w:rPr>
                <w:color w:val="000000"/>
              </w:rPr>
            </w:pPr>
            <w:r>
              <w:rPr>
                <w:color w:val="000000"/>
              </w:rPr>
              <w:t>Очень плохое</w:t>
            </w:r>
          </w:p>
        </w:tc>
      </w:tr>
      <w:tr w:rsidR="000D732C" w:rsidTr="000D732C">
        <w:trPr>
          <w:trHeight w:val="300"/>
        </w:trPr>
        <w:tc>
          <w:tcPr>
            <w:tcW w:w="3681" w:type="dxa"/>
            <w:tcBorders>
              <w:top w:val="nil"/>
              <w:left w:val="single" w:sz="4" w:space="0" w:color="auto"/>
              <w:bottom w:val="single" w:sz="4" w:space="0" w:color="auto"/>
              <w:right w:val="single" w:sz="4" w:space="0" w:color="auto"/>
            </w:tcBorders>
            <w:vAlign w:val="center"/>
            <w:hideMark/>
          </w:tcPr>
          <w:p w:rsidR="000D732C" w:rsidRDefault="000D732C">
            <w:pPr>
              <w:jc w:val="center"/>
              <w:rPr>
                <w:color w:val="000000"/>
              </w:rPr>
            </w:pPr>
            <w:r>
              <w:rPr>
                <w:color w:val="000000"/>
              </w:rPr>
              <w:t>-0,8</w:t>
            </w:r>
          </w:p>
        </w:tc>
        <w:tc>
          <w:tcPr>
            <w:tcW w:w="1403" w:type="dxa"/>
            <w:tcBorders>
              <w:top w:val="nil"/>
              <w:left w:val="nil"/>
              <w:bottom w:val="single" w:sz="4" w:space="0" w:color="auto"/>
              <w:right w:val="single" w:sz="4" w:space="0" w:color="auto"/>
            </w:tcBorders>
            <w:vAlign w:val="center"/>
            <w:hideMark/>
          </w:tcPr>
          <w:p w:rsidR="000D732C" w:rsidRDefault="000D732C">
            <w:pPr>
              <w:jc w:val="center"/>
              <w:rPr>
                <w:color w:val="000000"/>
              </w:rPr>
            </w:pPr>
            <w:r>
              <w:rPr>
                <w:color w:val="000000"/>
              </w:rPr>
              <w:t>-1</w:t>
            </w:r>
          </w:p>
        </w:tc>
        <w:tc>
          <w:tcPr>
            <w:tcW w:w="1556" w:type="dxa"/>
            <w:tcBorders>
              <w:top w:val="nil"/>
              <w:left w:val="nil"/>
              <w:bottom w:val="single" w:sz="4" w:space="0" w:color="auto"/>
              <w:right w:val="single" w:sz="4" w:space="0" w:color="auto"/>
            </w:tcBorders>
            <w:vAlign w:val="center"/>
            <w:hideMark/>
          </w:tcPr>
          <w:p w:rsidR="000D732C" w:rsidRDefault="000D732C" w:rsidP="000D732C">
            <w:pPr>
              <w:ind w:firstLineChars="200" w:firstLine="480"/>
              <w:rPr>
                <w:color w:val="000000"/>
              </w:rPr>
            </w:pPr>
            <w:r>
              <w:rPr>
                <w:color w:val="000000"/>
              </w:rPr>
              <w:t>D</w:t>
            </w:r>
          </w:p>
        </w:tc>
        <w:tc>
          <w:tcPr>
            <w:tcW w:w="3244" w:type="dxa"/>
            <w:tcBorders>
              <w:top w:val="single" w:sz="4" w:space="0" w:color="auto"/>
              <w:left w:val="nil"/>
              <w:bottom w:val="single" w:sz="4" w:space="0" w:color="auto"/>
              <w:right w:val="single" w:sz="4" w:space="0" w:color="auto"/>
            </w:tcBorders>
            <w:vAlign w:val="center"/>
            <w:hideMark/>
          </w:tcPr>
          <w:p w:rsidR="000D732C" w:rsidRDefault="000D732C">
            <w:pPr>
              <w:rPr>
                <w:color w:val="000000"/>
              </w:rPr>
            </w:pPr>
            <w:r>
              <w:rPr>
                <w:color w:val="000000"/>
              </w:rPr>
              <w:t>Критическое</w:t>
            </w:r>
          </w:p>
        </w:tc>
      </w:tr>
    </w:tbl>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b/>
          <w:sz w:val="24"/>
          <w:szCs w:val="24"/>
        </w:rPr>
      </w:pPr>
      <w:r>
        <w:rPr>
          <w:rFonts w:ascii="Times New Roman" w:hAnsi="Times New Roman" w:cs="Times New Roman"/>
          <w:sz w:val="24"/>
          <w:szCs w:val="24"/>
        </w:rPr>
        <w:tab/>
      </w:r>
    </w:p>
    <w:p w:rsidR="000D732C" w:rsidRDefault="000D732C" w:rsidP="000D732C">
      <w:pPr>
        <w:pStyle w:val="HTML"/>
        <w:jc w:val="center"/>
        <w:rPr>
          <w:rFonts w:ascii="Times New Roman" w:hAnsi="Times New Roman" w:cs="Times New Roman"/>
          <w:b/>
          <w:sz w:val="24"/>
          <w:szCs w:val="24"/>
        </w:rPr>
      </w:pPr>
      <w:r>
        <w:rPr>
          <w:rFonts w:ascii="Times New Roman" w:hAnsi="Times New Roman" w:cs="Times New Roman"/>
          <w:b/>
          <w:sz w:val="24"/>
          <w:szCs w:val="24"/>
        </w:rPr>
        <w:t>9. ОЦЕНКА ДЕЛОВОЙ РЕПУТАЦИИ</w:t>
      </w:r>
    </w:p>
    <w:p w:rsidR="000D732C" w:rsidRDefault="000D732C" w:rsidP="000D732C">
      <w:pPr>
        <w:pStyle w:val="HTML"/>
        <w:rPr>
          <w:rFonts w:ascii="Times New Roman" w:hAnsi="Times New Roman" w:cs="Times New Roman"/>
          <w:b/>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Для проверки деловой репутации можно использовать информацию о потенциальном заемщике, размещенную в сервисах для проверки контрагентов по данным официальных источников (</w:t>
      </w:r>
      <w:proofErr w:type="spellStart"/>
      <w:r>
        <w:rPr>
          <w:rFonts w:ascii="Times New Roman" w:hAnsi="Times New Roman" w:cs="Times New Roman"/>
          <w:sz w:val="24"/>
          <w:szCs w:val="24"/>
        </w:rPr>
        <w:t>Контур</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окус</w:t>
      </w:r>
      <w:proofErr w:type="spellEnd"/>
      <w:r>
        <w:rPr>
          <w:rFonts w:ascii="Times New Roman" w:hAnsi="Times New Roman" w:cs="Times New Roman"/>
          <w:sz w:val="24"/>
          <w:szCs w:val="24"/>
        </w:rPr>
        <w:t xml:space="preserve"> или СПАРК).</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При проверке необходимо обращать внимание на наличие негативной информации по потенциальному заёмщику, к которой можно отнести:</w:t>
      </w:r>
    </w:p>
    <w:p w:rsidR="000D732C" w:rsidRDefault="000D732C" w:rsidP="000D732C">
      <w:pPr>
        <w:pStyle w:val="HTML"/>
        <w:numPr>
          <w:ilvl w:val="0"/>
          <w:numId w:val="23"/>
        </w:numPr>
        <w:jc w:val="both"/>
        <w:rPr>
          <w:rFonts w:ascii="Times New Roman" w:hAnsi="Times New Roman" w:cs="Times New Roman"/>
          <w:sz w:val="24"/>
          <w:szCs w:val="24"/>
        </w:rPr>
      </w:pPr>
      <w:r>
        <w:rPr>
          <w:rFonts w:ascii="Times New Roman" w:hAnsi="Times New Roman" w:cs="Times New Roman"/>
          <w:sz w:val="24"/>
          <w:szCs w:val="24"/>
        </w:rPr>
        <w:t>Наличие решений ФНС о приостановлении операций по счетам</w:t>
      </w:r>
    </w:p>
    <w:p w:rsidR="000D732C" w:rsidRDefault="000D732C" w:rsidP="000D732C">
      <w:pPr>
        <w:pStyle w:val="HTML"/>
        <w:numPr>
          <w:ilvl w:val="0"/>
          <w:numId w:val="23"/>
        </w:numPr>
        <w:jc w:val="both"/>
        <w:rPr>
          <w:rFonts w:ascii="Times New Roman" w:hAnsi="Times New Roman" w:cs="Times New Roman"/>
          <w:sz w:val="24"/>
          <w:szCs w:val="24"/>
        </w:rPr>
      </w:pPr>
      <w:r>
        <w:rPr>
          <w:rFonts w:ascii="Times New Roman" w:hAnsi="Times New Roman" w:cs="Times New Roman"/>
          <w:sz w:val="24"/>
          <w:szCs w:val="24"/>
        </w:rPr>
        <w:t>Информация о банкротстве</w:t>
      </w:r>
    </w:p>
    <w:p w:rsidR="000D732C" w:rsidRDefault="000D732C" w:rsidP="000D732C">
      <w:pPr>
        <w:pStyle w:val="HTML"/>
        <w:numPr>
          <w:ilvl w:val="0"/>
          <w:numId w:val="23"/>
        </w:numPr>
        <w:jc w:val="both"/>
        <w:rPr>
          <w:rFonts w:ascii="Times New Roman" w:hAnsi="Times New Roman" w:cs="Times New Roman"/>
          <w:sz w:val="24"/>
          <w:szCs w:val="24"/>
        </w:rPr>
      </w:pPr>
      <w:r>
        <w:rPr>
          <w:rFonts w:ascii="Times New Roman" w:hAnsi="Times New Roman" w:cs="Times New Roman"/>
          <w:sz w:val="24"/>
          <w:szCs w:val="24"/>
        </w:rPr>
        <w:t>Исполнительные производства существенные для объемов деятельности заемщика (под существенностью принимается задолженность более 25 % от стр. 1300 Бухгалтерского баланса)</w:t>
      </w:r>
    </w:p>
    <w:p w:rsidR="000D732C" w:rsidRDefault="000D732C" w:rsidP="000D732C">
      <w:pPr>
        <w:pStyle w:val="HTML"/>
        <w:numPr>
          <w:ilvl w:val="0"/>
          <w:numId w:val="23"/>
        </w:numPr>
        <w:jc w:val="both"/>
        <w:rPr>
          <w:rFonts w:ascii="Times New Roman" w:hAnsi="Times New Roman" w:cs="Times New Roman"/>
          <w:sz w:val="24"/>
          <w:szCs w:val="24"/>
        </w:rPr>
      </w:pPr>
      <w:r>
        <w:rPr>
          <w:rFonts w:ascii="Times New Roman" w:hAnsi="Times New Roman" w:cs="Times New Roman"/>
          <w:sz w:val="24"/>
          <w:szCs w:val="24"/>
        </w:rPr>
        <w:t>Факт отсутствия связи у ФНС с контрагентом по адресу регистрации (при наличии такой информации, необходимо подтвердить наличие договора аренды по другому адресу, в котором располагается офис)</w:t>
      </w:r>
    </w:p>
    <w:p w:rsidR="000D732C" w:rsidRDefault="000D732C" w:rsidP="000D732C">
      <w:pPr>
        <w:pStyle w:val="HTML"/>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Наличие судебных разбирательств в качестве ответчика и </w:t>
      </w:r>
      <w:proofErr w:type="gramStart"/>
      <w:r>
        <w:rPr>
          <w:rFonts w:ascii="Times New Roman" w:hAnsi="Times New Roman" w:cs="Times New Roman"/>
          <w:sz w:val="24"/>
          <w:szCs w:val="24"/>
        </w:rPr>
        <w:t>истца</w:t>
      </w:r>
      <w:proofErr w:type="gramEnd"/>
      <w:r>
        <w:rPr>
          <w:rFonts w:ascii="Times New Roman" w:hAnsi="Times New Roman" w:cs="Times New Roman"/>
          <w:sz w:val="24"/>
          <w:szCs w:val="24"/>
        </w:rPr>
        <w:t xml:space="preserve"> существенных для объемов деятельности заемщика (под существенностью принимается задолженность более 25 % от стр. 1300 Бухгалтерского баланса)</w:t>
      </w:r>
    </w:p>
    <w:p w:rsidR="000D732C" w:rsidRDefault="000D732C" w:rsidP="000D732C">
      <w:pPr>
        <w:pStyle w:val="HTML"/>
        <w:numPr>
          <w:ilvl w:val="0"/>
          <w:numId w:val="23"/>
        </w:numPr>
        <w:jc w:val="both"/>
        <w:rPr>
          <w:rFonts w:ascii="Times New Roman" w:hAnsi="Times New Roman" w:cs="Times New Roman"/>
          <w:sz w:val="24"/>
          <w:szCs w:val="24"/>
        </w:rPr>
      </w:pPr>
      <w:r>
        <w:rPr>
          <w:rFonts w:ascii="Times New Roman" w:hAnsi="Times New Roman" w:cs="Times New Roman"/>
          <w:sz w:val="24"/>
          <w:szCs w:val="24"/>
        </w:rPr>
        <w:t>Наличие информации о заемщике в реестре недобросовестных поставщиков.</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Также в качестве оценке деловой репутации заемщика, можно оценить реестр контрактов на срок предоставления займа. В реестре контрактов должна содержаться следующая информация (наименование и ИНН контрагента с кем заключен контракт (договор), срок выполнения работ, сумма договора, объем полученных средства на текущий день, и объем поступлений на период предоставления займа).</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Рекомендуется осуществить проверку контрагентов из реестра контрактов, на наличие вышеуказанной негативной информации. При выявлении статуса банкротства, рекомендуется запросить у заемщика статус оплаты контракта по выполненным работам, оплачены ли выполненные работы в полном объеме.</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При выявлении любой из выше перечисленной негативной информации, необходимо применять коэффициент риска невозврата займа, указанный в таблице № 5 Методики в размере -0,1.</w:t>
      </w:r>
    </w:p>
    <w:p w:rsidR="000D732C" w:rsidRDefault="000D732C" w:rsidP="000D732C">
      <w:pPr>
        <w:pStyle w:val="HTML"/>
        <w:rPr>
          <w:rFonts w:ascii="Times New Roman" w:hAnsi="Times New Roman" w:cs="Times New Roman"/>
          <w:sz w:val="24"/>
          <w:szCs w:val="24"/>
        </w:rPr>
      </w:pPr>
    </w:p>
    <w:p w:rsidR="000D732C" w:rsidRDefault="000D732C" w:rsidP="000D732C">
      <w:pPr>
        <w:pStyle w:val="HTML"/>
        <w:rPr>
          <w:rFonts w:ascii="Times New Roman" w:hAnsi="Times New Roman" w:cs="Times New Roman"/>
          <w:sz w:val="24"/>
          <w:szCs w:val="24"/>
        </w:rPr>
      </w:pPr>
    </w:p>
    <w:p w:rsidR="000D732C" w:rsidRDefault="000D732C" w:rsidP="000D732C">
      <w:pPr>
        <w:pStyle w:val="HTML"/>
        <w:ind w:left="397"/>
        <w:jc w:val="center"/>
        <w:rPr>
          <w:rFonts w:ascii="Times New Roman" w:hAnsi="Times New Roman" w:cs="Times New Roman"/>
          <w:b/>
          <w:sz w:val="24"/>
          <w:szCs w:val="24"/>
        </w:rPr>
      </w:pPr>
      <w:r>
        <w:rPr>
          <w:rFonts w:ascii="Times New Roman" w:hAnsi="Times New Roman" w:cs="Times New Roman"/>
          <w:b/>
          <w:sz w:val="24"/>
          <w:szCs w:val="24"/>
        </w:rPr>
        <w:t>10. ОЦЕНКА ОБСТОЯТЕЛЬСТВ, СВИДЕТЕЛЬСТВУЮЩИХ О ВОЗМОЖНОМ ОТСУТСТВИИ У ЗАЕМЩИКОВ РЕАЛЬНОЙ ДЕЯТЕЛЬНОСТИ ИЛИ ОБ ОСУЩЕСТВЛЕНИИ ЕЕ В НЕЗНАЧИТЕЛЬНЫХ ОБЪЕМАХ</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Минимальный перечень обстоятельств, каждое из которых свидетельствует о возможном отсутствии у заемщика - юридического лица реальной деятельности или об осуществлении ее в незначительных объемах в денежном выражении, не сопоставимых с размером ссуды (совокупности ссуд, предоставленных данному заемщику):</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Превышение более чем в 10 раз размера предоставленной заемщику необеспеченного займа, над величиной полученной им среднеквартальной выручки за последние 12 календарных месяцев до даты оценки ссуды (или меньший период для юридических лиц, зарегистрированных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последние 12 календарных месяцев). При определении показателя выручки заемщика - юридического </w:t>
      </w:r>
      <w:proofErr w:type="gramStart"/>
      <w:r>
        <w:rPr>
          <w:rFonts w:ascii="Times New Roman" w:hAnsi="Times New Roman" w:cs="Times New Roman"/>
          <w:sz w:val="24"/>
          <w:szCs w:val="24"/>
        </w:rPr>
        <w:t>лица</w:t>
      </w:r>
      <w:proofErr w:type="gramEnd"/>
      <w:r>
        <w:rPr>
          <w:rFonts w:ascii="Times New Roman" w:hAnsi="Times New Roman" w:cs="Times New Roman"/>
          <w:sz w:val="24"/>
          <w:szCs w:val="24"/>
        </w:rPr>
        <w:t xml:space="preserve"> возможно использовать данные консолидированной отчетности группы, в которую входит заемщик, составленной по российским или международным стандартам, раскрываемой неограниченному кругу лиц.</w:t>
      </w:r>
    </w:p>
    <w:p w:rsidR="000D732C" w:rsidRDefault="000D732C" w:rsidP="000D732C">
      <w:pPr>
        <w:pStyle w:val="HTML"/>
        <w:numPr>
          <w:ilvl w:val="0"/>
          <w:numId w:val="24"/>
        </w:numPr>
        <w:jc w:val="both"/>
        <w:rPr>
          <w:rFonts w:ascii="Times New Roman" w:hAnsi="Times New Roman" w:cs="Times New Roman"/>
          <w:sz w:val="24"/>
          <w:szCs w:val="24"/>
        </w:rPr>
      </w:pPr>
      <w:r>
        <w:rPr>
          <w:rFonts w:ascii="Times New Roman" w:hAnsi="Times New Roman" w:cs="Times New Roman"/>
          <w:sz w:val="24"/>
          <w:szCs w:val="24"/>
        </w:rPr>
        <w:t>Отсутствие на последнюю отчетную дату у заемщика собственных, либо находящихся в пользовании на основании договора аренды, основных средств или иного имущества, необходимых для осуществления деятельности (производственных мощностей, складских помещений, транспортных средств, торговых точек, офисных помещений и прочих), в том числе переданных в залог;</w:t>
      </w:r>
    </w:p>
    <w:p w:rsidR="000D732C" w:rsidRDefault="000D732C" w:rsidP="000D732C">
      <w:pPr>
        <w:pStyle w:val="HTML"/>
        <w:numPr>
          <w:ilvl w:val="0"/>
          <w:numId w:val="24"/>
        </w:num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Случаи, когда заем предоставлен заемщику, более 70 процентов активов которого на последнюю отчетную дату представляют собой дебиторскую задолженность (за исключением дебиторской задолженности, возникшей по договорам купли-продажи товаров, договорам лизинга и (или) договорам финансирования под уступку денежного требования), займы, ценные бумаги, вложения в уставные капиталы других юридических лиц и иные финансовые вложения;</w:t>
      </w:r>
      <w:proofErr w:type="gramEnd"/>
    </w:p>
    <w:p w:rsidR="000D732C" w:rsidRDefault="000D732C" w:rsidP="000D732C">
      <w:pPr>
        <w:pStyle w:val="HTML"/>
        <w:numPr>
          <w:ilvl w:val="0"/>
          <w:numId w:val="24"/>
        </w:numPr>
        <w:jc w:val="both"/>
        <w:rPr>
          <w:rFonts w:ascii="Times New Roman" w:hAnsi="Times New Roman" w:cs="Times New Roman"/>
          <w:sz w:val="24"/>
          <w:szCs w:val="24"/>
        </w:rPr>
      </w:pPr>
      <w:r>
        <w:rPr>
          <w:rFonts w:ascii="Times New Roman" w:hAnsi="Times New Roman" w:cs="Times New Roman"/>
          <w:sz w:val="24"/>
          <w:szCs w:val="24"/>
        </w:rPr>
        <w:t>В случае если у заемщика произошла смена лица, осуществляющего функции единоличного исполнительного органа, три и более раз за последний календарный год;</w:t>
      </w:r>
    </w:p>
    <w:p w:rsidR="000D732C" w:rsidRDefault="000D732C" w:rsidP="000D732C">
      <w:pPr>
        <w:pStyle w:val="HTML"/>
        <w:numPr>
          <w:ilvl w:val="0"/>
          <w:numId w:val="24"/>
        </w:numPr>
        <w:jc w:val="both"/>
        <w:rPr>
          <w:rFonts w:ascii="Times New Roman" w:hAnsi="Times New Roman" w:cs="Times New Roman"/>
          <w:sz w:val="24"/>
          <w:szCs w:val="24"/>
        </w:rPr>
      </w:pPr>
      <w:r>
        <w:rPr>
          <w:rFonts w:ascii="Times New Roman" w:hAnsi="Times New Roman" w:cs="Times New Roman"/>
          <w:sz w:val="24"/>
          <w:szCs w:val="24"/>
        </w:rPr>
        <w:t>Отсутствие заемщика по месту нахождения, указанному в учредительных документах, или по заявленному им фактическому месту нахождения;</w:t>
      </w:r>
    </w:p>
    <w:p w:rsidR="000D732C" w:rsidRDefault="000D732C" w:rsidP="000D732C">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70" w:lineRule="atLeast"/>
        <w:jc w:val="both"/>
        <w:rPr>
          <w:rFonts w:eastAsia="Arial Unicode MS"/>
        </w:rPr>
      </w:pPr>
      <w:r>
        <w:rPr>
          <w:rFonts w:eastAsia="Arial Unicode MS"/>
        </w:rPr>
        <w:t>Неоднократная утрата заемщиком правоустанавливающих, первичных учетных документов, оригиналов договоров либо задержки с восстановлением утраченных документов;</w:t>
      </w:r>
    </w:p>
    <w:p w:rsidR="000D732C" w:rsidRDefault="000D732C" w:rsidP="000D732C">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70" w:lineRule="atLeast"/>
        <w:jc w:val="both"/>
        <w:rPr>
          <w:rFonts w:eastAsia="Arial Unicode MS"/>
        </w:rPr>
      </w:pPr>
      <w:r>
        <w:rPr>
          <w:rFonts w:eastAsia="Arial Unicode MS"/>
        </w:rPr>
        <w:t>Изменение места постановки на налоговый учет более двух раз за календарный год (за исключением случаев, когда изменение вызвано реорганизацией налоговых органов).</w:t>
      </w:r>
    </w:p>
    <w:p w:rsidR="000D732C" w:rsidRDefault="000D732C" w:rsidP="000D732C">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70" w:lineRule="atLeast"/>
        <w:jc w:val="both"/>
        <w:rPr>
          <w:rFonts w:eastAsia="Arial Unicode MS"/>
        </w:rPr>
      </w:pPr>
      <w:r>
        <w:rPr>
          <w:rFonts w:eastAsia="Arial Unicode MS"/>
        </w:rPr>
        <w:t>Отсутствие в штате заемщика 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p w:rsidR="000D732C" w:rsidRDefault="000D732C" w:rsidP="000D732C">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70" w:lineRule="atLeast"/>
        <w:jc w:val="both"/>
        <w:rPr>
          <w:rFonts w:eastAsia="Arial Unicode MS"/>
        </w:rPr>
      </w:pPr>
      <w:r>
        <w:rPr>
          <w:rFonts w:eastAsia="Arial Unicode MS"/>
        </w:rPr>
        <w:t>Отсутствие в штате заемщика работников помимо руководителя и главного бухгалтера;</w:t>
      </w:r>
    </w:p>
    <w:p w:rsidR="000D732C" w:rsidRDefault="000D732C" w:rsidP="000D732C">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70" w:lineRule="atLeast"/>
        <w:jc w:val="both"/>
        <w:rPr>
          <w:rFonts w:eastAsia="Arial Unicode MS"/>
        </w:rPr>
      </w:pPr>
      <w:r>
        <w:rPr>
          <w:rFonts w:eastAsia="Arial Unicode MS"/>
        </w:rPr>
        <w:t>Отсутствие в течение более чем трех месяцев фактических выплат сотрудникам или их осуществление в размере ниже официального прожиточного минимума, установленного в субъекте Российской Федерации по месту регистрации заемщика, в расчете на одного занятого.</w:t>
      </w:r>
    </w:p>
    <w:p w:rsidR="000D732C" w:rsidRDefault="000D732C" w:rsidP="000D732C">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70" w:lineRule="atLeast"/>
        <w:jc w:val="both"/>
        <w:rPr>
          <w:rFonts w:eastAsia="Arial Unicode MS"/>
        </w:rPr>
      </w:pPr>
      <w:proofErr w:type="gramStart"/>
      <w:r>
        <w:rPr>
          <w:rFonts w:eastAsia="Arial Unicode MS"/>
        </w:rPr>
        <w:t>С даты</w:t>
      </w:r>
      <w:proofErr w:type="gramEnd"/>
      <w:r>
        <w:rPr>
          <w:rFonts w:eastAsia="Arial Unicode MS"/>
        </w:rPr>
        <w:t xml:space="preserve"> государственной регистрации заемщика - юридического лица прошло менее года, за исключением случаев его реорганизации;</w:t>
      </w: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При выявлении любой из выше перечисленной негативной информации, необходимо применять коэффициент риска невозврата займа, указанный в таблице № 5 Методики в размере -0,1.</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numPr>
          <w:ilvl w:val="0"/>
          <w:numId w:val="25"/>
        </w:numPr>
        <w:jc w:val="center"/>
        <w:rPr>
          <w:rFonts w:ascii="Times New Roman" w:hAnsi="Times New Roman" w:cs="Times New Roman"/>
          <w:b/>
          <w:sz w:val="24"/>
          <w:szCs w:val="24"/>
        </w:rPr>
      </w:pPr>
      <w:r>
        <w:rPr>
          <w:rFonts w:ascii="Times New Roman" w:hAnsi="Times New Roman" w:cs="Times New Roman"/>
          <w:b/>
          <w:sz w:val="24"/>
          <w:szCs w:val="24"/>
        </w:rPr>
        <w:t>ВЫВОДЫ</w:t>
      </w:r>
    </w:p>
    <w:p w:rsidR="000D732C" w:rsidRDefault="000D732C" w:rsidP="000D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300" w:lineRule="atLeast"/>
        <w:ind w:firstLine="360"/>
        <w:jc w:val="both"/>
        <w:rPr>
          <w:rFonts w:eastAsia="Arial Unicode MS"/>
        </w:rPr>
      </w:pPr>
      <w:r>
        <w:rPr>
          <w:rFonts w:eastAsia="Arial Unicode MS"/>
        </w:rPr>
        <w:t>В случае</w:t>
      </w:r>
      <w:proofErr w:type="gramStart"/>
      <w:r>
        <w:rPr>
          <w:rFonts w:eastAsia="Arial Unicode MS"/>
        </w:rPr>
        <w:t>,</w:t>
      </w:r>
      <w:proofErr w:type="gramEnd"/>
      <w:r>
        <w:rPr>
          <w:rFonts w:eastAsia="Arial Unicode MS"/>
        </w:rPr>
        <w:t xml:space="preserve"> если коэффициент риска невозврата займа, рассчитанный в соответствии с Методикой оценки финансового состояния Заемщика, имеет значение ноль или положительное значение – предоставление займа возможно. </w:t>
      </w:r>
    </w:p>
    <w:p w:rsidR="000D732C" w:rsidRDefault="000D732C" w:rsidP="000D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300" w:lineRule="atLeast"/>
        <w:ind w:firstLine="360"/>
        <w:jc w:val="both"/>
        <w:rPr>
          <w:rFonts w:eastAsia="Arial Unicode MS"/>
        </w:rPr>
      </w:pPr>
      <w:r>
        <w:rPr>
          <w:rFonts w:eastAsia="Arial Unicode MS"/>
        </w:rPr>
        <w:t>Если коэффициент риска невозврата займа имеет отрицательное значение –</w:t>
      </w:r>
      <w:r>
        <w:t xml:space="preserve"> </w:t>
      </w:r>
      <w:r>
        <w:rPr>
          <w:rFonts w:eastAsia="Arial Unicode MS"/>
        </w:rPr>
        <w:t xml:space="preserve">Заемщик признается неблагонадежным и предоставление займа не рекомендуется.    </w:t>
      </w:r>
    </w:p>
    <w:p w:rsidR="000D732C" w:rsidRDefault="000D732C" w:rsidP="000D73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line="300" w:lineRule="atLeast"/>
        <w:ind w:firstLine="360"/>
        <w:jc w:val="both"/>
        <w:rPr>
          <w:b/>
        </w:rPr>
      </w:pPr>
      <w:r>
        <w:rPr>
          <w:rFonts w:eastAsia="Arial Unicode MS"/>
        </w:rPr>
        <w:t xml:space="preserve">Для принятия решения о предоставлении/ не предоставлении заемщику займа, помимо анализа финансовых показателей необходимо провести анализ деловой репутации, анализ реальной деятельности заемщика. При выявлении любой негативной информации из перечисленной в </w:t>
      </w:r>
      <w:proofErr w:type="spellStart"/>
      <w:r>
        <w:rPr>
          <w:rFonts w:eastAsia="Arial Unicode MS"/>
        </w:rPr>
        <w:t>п.п</w:t>
      </w:r>
      <w:proofErr w:type="spellEnd"/>
      <w:r>
        <w:rPr>
          <w:rFonts w:eastAsia="Arial Unicode MS"/>
        </w:rPr>
        <w:t>. 9, 10 Методики, необходимо принять коэффициент риска невозврата займа, указанный в таблице п.8 Методики, как отрицательное значение.</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rPr>
        <w:sectPr w:rsidR="000D732C">
          <w:pgSz w:w="11906" w:h="16838"/>
          <w:pgMar w:top="851" w:right="851" w:bottom="902" w:left="1259" w:header="709" w:footer="709" w:gutter="0"/>
          <w:pgBorders w:zOrder="back" w:display="notFirstPage">
            <w:top w:val="single" w:sz="4" w:space="10" w:color="auto"/>
            <w:bottom w:val="single" w:sz="4" w:space="10" w:color="auto"/>
          </w:pgBorders>
          <w:cols w:space="720"/>
        </w:sectPr>
      </w:pPr>
    </w:p>
    <w:p w:rsidR="000D732C" w:rsidRDefault="000D732C" w:rsidP="000D732C">
      <w:pPr>
        <w:pStyle w:val="HTML"/>
        <w:jc w:val="center"/>
        <w:rPr>
          <w:rFonts w:ascii="Times New Roman" w:hAnsi="Times New Roman" w:cs="Times New Roman"/>
          <w:b/>
          <w:sz w:val="24"/>
          <w:szCs w:val="24"/>
        </w:rPr>
      </w:pPr>
      <w:r>
        <w:rPr>
          <w:rFonts w:ascii="Times New Roman" w:hAnsi="Times New Roman" w:cs="Times New Roman"/>
          <w:b/>
          <w:sz w:val="24"/>
          <w:szCs w:val="24"/>
        </w:rPr>
        <w:lastRenderedPageBreak/>
        <w:t>12. ПРИЛОЖЕНИЯ</w:t>
      </w:r>
    </w:p>
    <w:p w:rsidR="000D732C" w:rsidRDefault="000D732C" w:rsidP="000D732C">
      <w:pPr>
        <w:pStyle w:val="HTML"/>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0D732C" w:rsidRDefault="000D732C" w:rsidP="000D732C">
      <w:pPr>
        <w:pStyle w:val="HTML"/>
        <w:jc w:val="center"/>
        <w:rPr>
          <w:rFonts w:ascii="Times New Roman" w:hAnsi="Times New Roman" w:cs="Times New Roman"/>
          <w:b/>
          <w:sz w:val="24"/>
          <w:szCs w:val="24"/>
        </w:rPr>
      </w:pPr>
    </w:p>
    <w:tbl>
      <w:tblPr>
        <w:tblW w:w="16160" w:type="dxa"/>
        <w:tblInd w:w="-567" w:type="dxa"/>
        <w:tblLook w:val="00A0" w:firstRow="1" w:lastRow="0" w:firstColumn="1" w:lastColumn="0" w:noHBand="0" w:noVBand="0"/>
      </w:tblPr>
      <w:tblGrid>
        <w:gridCol w:w="2410"/>
        <w:gridCol w:w="1176"/>
        <w:gridCol w:w="1238"/>
        <w:gridCol w:w="1238"/>
        <w:gridCol w:w="1238"/>
        <w:gridCol w:w="1238"/>
        <w:gridCol w:w="1238"/>
        <w:gridCol w:w="1739"/>
        <w:gridCol w:w="30"/>
        <w:gridCol w:w="1769"/>
        <w:gridCol w:w="1655"/>
        <w:gridCol w:w="1191"/>
      </w:tblGrid>
      <w:tr w:rsidR="000D732C" w:rsidTr="000D732C">
        <w:trPr>
          <w:trHeight w:val="375"/>
        </w:trPr>
        <w:tc>
          <w:tcPr>
            <w:tcW w:w="2410" w:type="dxa"/>
            <w:shd w:val="clear" w:color="auto" w:fill="FFFFFF"/>
            <w:noWrap/>
            <w:vAlign w:val="bottom"/>
            <w:hideMark/>
          </w:tcPr>
          <w:p w:rsidR="000D732C" w:rsidRDefault="000D732C">
            <w:pPr>
              <w:rPr>
                <w:rFonts w:ascii="Calibri" w:hAnsi="Calibri" w:cs="Calibri"/>
                <w:color w:val="000000"/>
                <w:sz w:val="28"/>
                <w:szCs w:val="28"/>
              </w:rPr>
            </w:pPr>
            <w:r>
              <w:rPr>
                <w:rFonts w:ascii="Calibri" w:hAnsi="Calibri" w:cs="Calibri"/>
                <w:color w:val="000000"/>
                <w:sz w:val="28"/>
                <w:szCs w:val="28"/>
              </w:rPr>
              <w:t> </w:t>
            </w:r>
          </w:p>
        </w:tc>
        <w:tc>
          <w:tcPr>
            <w:tcW w:w="1176" w:type="dxa"/>
            <w:noWrap/>
            <w:vAlign w:val="bottom"/>
            <w:hideMark/>
          </w:tcPr>
          <w:p w:rsidR="000D732C" w:rsidRDefault="000D732C">
            <w:pPr>
              <w:rPr>
                <w:rFonts w:ascii="Calibri" w:hAnsi="Calibri" w:cs="Calibri"/>
                <w:color w:val="000000"/>
              </w:rPr>
            </w:pPr>
            <w:r>
              <w:rPr>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28575</wp:posOffset>
                  </wp:positionV>
                  <wp:extent cx="1099185" cy="28956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9185" cy="28956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0A0" w:firstRow="1" w:lastRow="0" w:firstColumn="1" w:lastColumn="0" w:noHBand="0" w:noVBand="0"/>
            </w:tblPr>
            <w:tblGrid>
              <w:gridCol w:w="960"/>
            </w:tblGrid>
            <w:tr w:rsidR="000D732C">
              <w:trPr>
                <w:trHeight w:val="375"/>
                <w:tblCellSpacing w:w="0" w:type="dxa"/>
              </w:trPr>
              <w:tc>
                <w:tcPr>
                  <w:tcW w:w="960" w:type="dxa"/>
                  <w:shd w:val="clear" w:color="auto" w:fill="FFFFFF"/>
                  <w:noWrap/>
                  <w:vAlign w:val="bottom"/>
                  <w:hideMark/>
                </w:tcPr>
                <w:p w:rsidR="000D732C" w:rsidRDefault="000D732C">
                  <w:pPr>
                    <w:rPr>
                      <w:rFonts w:ascii="Calibri" w:hAnsi="Calibri" w:cs="Calibri"/>
                      <w:color w:val="000000"/>
                      <w:sz w:val="28"/>
                      <w:szCs w:val="28"/>
                    </w:rPr>
                  </w:pPr>
                  <w:r>
                    <w:rPr>
                      <w:rFonts w:ascii="Calibri" w:hAnsi="Calibri" w:cs="Calibri"/>
                      <w:color w:val="000000"/>
                      <w:sz w:val="28"/>
                      <w:szCs w:val="28"/>
                    </w:rPr>
                    <w:t> </w:t>
                  </w:r>
                </w:p>
              </w:tc>
            </w:tr>
          </w:tbl>
          <w:p w:rsidR="000D732C" w:rsidRDefault="000D732C">
            <w:pPr>
              <w:rPr>
                <w:rFonts w:ascii="Calibri" w:hAnsi="Calibri" w:cs="Calibri"/>
                <w:color w:val="000000"/>
              </w:rPr>
            </w:pPr>
          </w:p>
        </w:tc>
        <w:tc>
          <w:tcPr>
            <w:tcW w:w="1238" w:type="dxa"/>
            <w:shd w:val="clear" w:color="auto" w:fill="FFFFFF"/>
            <w:noWrap/>
            <w:vAlign w:val="bottom"/>
            <w:hideMark/>
          </w:tcPr>
          <w:p w:rsidR="000D732C" w:rsidRDefault="000D732C">
            <w:pPr>
              <w:rPr>
                <w:rFonts w:ascii="Calibri" w:hAnsi="Calibri" w:cs="Calibri"/>
                <w:color w:val="0563C1"/>
                <w:u w:val="single"/>
              </w:rPr>
            </w:pPr>
            <w:r>
              <w:rPr>
                <w:rFonts w:ascii="Calibri" w:hAnsi="Calibri" w:cs="Calibri"/>
                <w:color w:val="0563C1"/>
                <w:sz w:val="22"/>
                <w:szCs w:val="22"/>
                <w:u w:val="single"/>
              </w:rPr>
              <w:t> </w:t>
            </w:r>
          </w:p>
        </w:tc>
        <w:tc>
          <w:tcPr>
            <w:tcW w:w="1238" w:type="dxa"/>
            <w:shd w:val="clear" w:color="auto" w:fill="FFFFFF"/>
            <w:noWrap/>
            <w:vAlign w:val="bottom"/>
            <w:hideMark/>
          </w:tcPr>
          <w:p w:rsidR="000D732C" w:rsidRDefault="000D732C">
            <w:pPr>
              <w:rPr>
                <w:rFonts w:ascii="Calibri" w:hAnsi="Calibri" w:cs="Calibri"/>
                <w:color w:val="000000"/>
                <w:sz w:val="28"/>
                <w:szCs w:val="28"/>
              </w:rPr>
            </w:pPr>
            <w:r>
              <w:rPr>
                <w:rFonts w:ascii="Calibri" w:hAnsi="Calibri" w:cs="Calibri"/>
                <w:color w:val="000000"/>
                <w:sz w:val="28"/>
                <w:szCs w:val="28"/>
              </w:rPr>
              <w:t> </w:t>
            </w:r>
          </w:p>
        </w:tc>
        <w:tc>
          <w:tcPr>
            <w:tcW w:w="1238" w:type="dxa"/>
            <w:shd w:val="clear" w:color="auto" w:fill="FFFFFF"/>
            <w:noWrap/>
            <w:vAlign w:val="bottom"/>
            <w:hideMark/>
          </w:tcPr>
          <w:p w:rsidR="000D732C" w:rsidRDefault="000D732C">
            <w:pPr>
              <w:rPr>
                <w:rFonts w:ascii="Calibri" w:hAnsi="Calibri" w:cs="Calibri"/>
                <w:color w:val="000000"/>
                <w:sz w:val="28"/>
                <w:szCs w:val="28"/>
              </w:rPr>
            </w:pPr>
            <w:r>
              <w:rPr>
                <w:rFonts w:ascii="Calibri" w:hAnsi="Calibri" w:cs="Calibri"/>
                <w:color w:val="000000"/>
                <w:sz w:val="28"/>
                <w:szCs w:val="28"/>
              </w:rPr>
              <w:t> </w:t>
            </w:r>
          </w:p>
        </w:tc>
        <w:tc>
          <w:tcPr>
            <w:tcW w:w="1238" w:type="dxa"/>
            <w:shd w:val="clear" w:color="auto" w:fill="FFFFFF"/>
            <w:noWrap/>
            <w:vAlign w:val="bottom"/>
            <w:hideMark/>
          </w:tcPr>
          <w:p w:rsidR="000D732C" w:rsidRDefault="000D732C">
            <w:pPr>
              <w:rPr>
                <w:rFonts w:ascii="Calibri" w:hAnsi="Calibri" w:cs="Calibri"/>
                <w:color w:val="000000"/>
                <w:sz w:val="28"/>
                <w:szCs w:val="28"/>
              </w:rPr>
            </w:pPr>
            <w:r>
              <w:rPr>
                <w:rFonts w:ascii="Calibri" w:hAnsi="Calibri" w:cs="Calibri"/>
                <w:color w:val="000000"/>
                <w:sz w:val="28"/>
                <w:szCs w:val="28"/>
              </w:rPr>
              <w:t> </w:t>
            </w:r>
          </w:p>
        </w:tc>
        <w:tc>
          <w:tcPr>
            <w:tcW w:w="1238" w:type="dxa"/>
            <w:shd w:val="clear" w:color="auto" w:fill="FFFFFF"/>
            <w:noWrap/>
            <w:vAlign w:val="bottom"/>
            <w:hideMark/>
          </w:tcPr>
          <w:p w:rsidR="000D732C" w:rsidRDefault="000D732C">
            <w:pPr>
              <w:rPr>
                <w:rFonts w:ascii="Calibri" w:hAnsi="Calibri" w:cs="Calibri"/>
                <w:color w:val="000000"/>
                <w:sz w:val="28"/>
                <w:szCs w:val="28"/>
              </w:rPr>
            </w:pPr>
            <w:r>
              <w:rPr>
                <w:rFonts w:ascii="Calibri" w:hAnsi="Calibri" w:cs="Calibri"/>
                <w:color w:val="000000"/>
                <w:sz w:val="28"/>
                <w:szCs w:val="28"/>
              </w:rPr>
              <w:t> </w:t>
            </w:r>
          </w:p>
        </w:tc>
        <w:tc>
          <w:tcPr>
            <w:tcW w:w="1769" w:type="dxa"/>
            <w:gridSpan w:val="2"/>
            <w:shd w:val="clear" w:color="auto" w:fill="FFFFFF"/>
            <w:noWrap/>
            <w:vAlign w:val="bottom"/>
            <w:hideMark/>
          </w:tcPr>
          <w:p w:rsidR="000D732C" w:rsidRDefault="000D732C">
            <w:pPr>
              <w:rPr>
                <w:rFonts w:ascii="Calibri" w:hAnsi="Calibri" w:cs="Calibri"/>
                <w:color w:val="000000"/>
                <w:sz w:val="28"/>
                <w:szCs w:val="28"/>
              </w:rPr>
            </w:pPr>
            <w:r>
              <w:rPr>
                <w:rFonts w:ascii="Calibri" w:hAnsi="Calibri" w:cs="Calibri"/>
                <w:color w:val="000000"/>
                <w:sz w:val="28"/>
                <w:szCs w:val="28"/>
              </w:rPr>
              <w:t> </w:t>
            </w:r>
          </w:p>
        </w:tc>
        <w:tc>
          <w:tcPr>
            <w:tcW w:w="1769" w:type="dxa"/>
            <w:shd w:val="clear" w:color="auto" w:fill="FFFFFF"/>
            <w:noWrap/>
            <w:vAlign w:val="bottom"/>
            <w:hideMark/>
          </w:tcPr>
          <w:p w:rsidR="000D732C" w:rsidRDefault="000D732C">
            <w:pPr>
              <w:rPr>
                <w:rFonts w:ascii="Calibri" w:hAnsi="Calibri" w:cs="Calibri"/>
                <w:color w:val="000000"/>
                <w:sz w:val="28"/>
                <w:szCs w:val="28"/>
              </w:rPr>
            </w:pPr>
            <w:r>
              <w:rPr>
                <w:rFonts w:ascii="Calibri" w:hAnsi="Calibri" w:cs="Calibri"/>
                <w:color w:val="000000"/>
                <w:sz w:val="28"/>
                <w:szCs w:val="28"/>
              </w:rPr>
              <w:t> </w:t>
            </w:r>
          </w:p>
        </w:tc>
        <w:tc>
          <w:tcPr>
            <w:tcW w:w="1655" w:type="dxa"/>
            <w:shd w:val="clear" w:color="auto" w:fill="FFFFFF"/>
            <w:noWrap/>
            <w:vAlign w:val="bottom"/>
            <w:hideMark/>
          </w:tcPr>
          <w:p w:rsidR="000D732C" w:rsidRDefault="000D732C">
            <w:pPr>
              <w:rPr>
                <w:rFonts w:ascii="Calibri" w:hAnsi="Calibri" w:cs="Calibri"/>
                <w:color w:val="000000"/>
                <w:sz w:val="28"/>
                <w:szCs w:val="28"/>
              </w:rPr>
            </w:pPr>
            <w:r>
              <w:rPr>
                <w:rFonts w:ascii="Calibri" w:hAnsi="Calibri" w:cs="Calibri"/>
                <w:color w:val="000000"/>
                <w:sz w:val="28"/>
                <w:szCs w:val="28"/>
              </w:rPr>
              <w:t> </w:t>
            </w:r>
          </w:p>
        </w:tc>
        <w:tc>
          <w:tcPr>
            <w:tcW w:w="1191" w:type="dxa"/>
            <w:shd w:val="clear" w:color="auto" w:fill="FFFFFF"/>
            <w:noWrap/>
            <w:vAlign w:val="bottom"/>
            <w:hideMark/>
          </w:tcPr>
          <w:p w:rsidR="000D732C" w:rsidRDefault="000D732C">
            <w:pPr>
              <w:rPr>
                <w:rFonts w:ascii="Calibri" w:hAnsi="Calibri" w:cs="Calibri"/>
                <w:color w:val="000000"/>
                <w:sz w:val="28"/>
                <w:szCs w:val="28"/>
              </w:rPr>
            </w:pPr>
            <w:r>
              <w:rPr>
                <w:rFonts w:ascii="Calibri" w:hAnsi="Calibri" w:cs="Calibri"/>
                <w:color w:val="000000"/>
                <w:sz w:val="28"/>
                <w:szCs w:val="28"/>
              </w:rPr>
              <w:t> </w:t>
            </w:r>
          </w:p>
        </w:tc>
      </w:tr>
      <w:tr w:rsidR="000D732C" w:rsidTr="000D732C">
        <w:trPr>
          <w:trHeight w:val="300"/>
        </w:trPr>
        <w:tc>
          <w:tcPr>
            <w:tcW w:w="2410" w:type="dxa"/>
            <w:shd w:val="clear" w:color="auto" w:fill="92D050"/>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176"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jc w:val="right"/>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jc w:val="right"/>
              <w:rPr>
                <w:rFonts w:ascii="Calibri" w:hAnsi="Calibri" w:cs="Calibri"/>
                <w:color w:val="000000"/>
                <w:sz w:val="20"/>
                <w:szCs w:val="20"/>
              </w:rPr>
            </w:pPr>
            <w:r>
              <w:rPr>
                <w:rFonts w:ascii="Calibri" w:hAnsi="Calibri" w:cs="Calibri"/>
                <w:color w:val="000000"/>
                <w:sz w:val="20"/>
                <w:szCs w:val="20"/>
              </w:rPr>
              <w:t> </w:t>
            </w:r>
          </w:p>
        </w:tc>
        <w:tc>
          <w:tcPr>
            <w:tcW w:w="1238" w:type="dxa"/>
            <w:shd w:val="clear" w:color="auto" w:fill="FFFFFF"/>
            <w:noWrap/>
            <w:vAlign w:val="bottom"/>
            <w:hideMark/>
          </w:tcPr>
          <w:p w:rsidR="000D732C" w:rsidRDefault="000D732C">
            <w:pPr>
              <w:jc w:val="right"/>
              <w:rPr>
                <w:rFonts w:ascii="Calibri" w:hAnsi="Calibri" w:cs="Calibri"/>
                <w:color w:val="000000"/>
                <w:sz w:val="20"/>
                <w:szCs w:val="20"/>
              </w:rPr>
            </w:pPr>
            <w:r>
              <w:rPr>
                <w:rFonts w:ascii="Calibri" w:hAnsi="Calibri" w:cs="Calibri"/>
                <w:color w:val="000000"/>
                <w:sz w:val="20"/>
                <w:szCs w:val="20"/>
              </w:rPr>
              <w:t>(тыс. руб.)</w:t>
            </w:r>
          </w:p>
        </w:tc>
        <w:tc>
          <w:tcPr>
            <w:tcW w:w="3538"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0D732C" w:rsidRDefault="000D732C">
            <w:pPr>
              <w:jc w:val="center"/>
              <w:rPr>
                <w:rFonts w:ascii="Calibri" w:hAnsi="Calibri" w:cs="Calibri"/>
                <w:color w:val="000000"/>
              </w:rPr>
            </w:pPr>
            <w:proofErr w:type="gramStart"/>
            <w:r>
              <w:rPr>
                <w:rFonts w:ascii="Calibri" w:hAnsi="Calibri" w:cs="Calibri"/>
                <w:color w:val="000000"/>
                <w:sz w:val="22"/>
                <w:szCs w:val="22"/>
              </w:rPr>
              <w:t>в</w:t>
            </w:r>
            <w:proofErr w:type="gramEnd"/>
            <w:r>
              <w:rPr>
                <w:rFonts w:ascii="Calibri" w:hAnsi="Calibri" w:cs="Calibri"/>
                <w:color w:val="000000"/>
                <w:sz w:val="22"/>
                <w:szCs w:val="22"/>
              </w:rPr>
              <w:t xml:space="preserve"> % </w:t>
            </w:r>
            <w:proofErr w:type="gramStart"/>
            <w:r>
              <w:rPr>
                <w:rFonts w:ascii="Calibri" w:hAnsi="Calibri" w:cs="Calibri"/>
                <w:color w:val="000000"/>
                <w:sz w:val="22"/>
                <w:szCs w:val="22"/>
              </w:rPr>
              <w:t>к</w:t>
            </w:r>
            <w:proofErr w:type="gramEnd"/>
            <w:r>
              <w:rPr>
                <w:rFonts w:ascii="Calibri" w:hAnsi="Calibri" w:cs="Calibri"/>
                <w:color w:val="000000"/>
                <w:sz w:val="22"/>
                <w:szCs w:val="22"/>
              </w:rPr>
              <w:t xml:space="preserve"> валюте баланс</w:t>
            </w:r>
          </w:p>
        </w:tc>
        <w:tc>
          <w:tcPr>
            <w:tcW w:w="2846" w:type="dxa"/>
            <w:gridSpan w:val="2"/>
            <w:tcBorders>
              <w:top w:val="single" w:sz="4" w:space="0" w:color="auto"/>
              <w:left w:val="nil"/>
              <w:bottom w:val="single" w:sz="4" w:space="0" w:color="auto"/>
              <w:right w:val="single" w:sz="4" w:space="0" w:color="auto"/>
            </w:tcBorders>
            <w:vAlign w:val="bottom"/>
            <w:hideMark/>
          </w:tcPr>
          <w:p w:rsidR="000D732C" w:rsidRDefault="000D732C">
            <w:pPr>
              <w:jc w:val="center"/>
              <w:rPr>
                <w:rFonts w:ascii="Arial" w:hAnsi="Arial" w:cs="Arial"/>
                <w:color w:val="000000"/>
                <w:sz w:val="20"/>
                <w:szCs w:val="20"/>
              </w:rPr>
            </w:pPr>
            <w:r>
              <w:rPr>
                <w:rFonts w:ascii="Arial" w:hAnsi="Arial" w:cs="Arial"/>
                <w:color w:val="000000"/>
                <w:sz w:val="20"/>
                <w:szCs w:val="20"/>
              </w:rPr>
              <w:t>Изменение за анализируемый период</w:t>
            </w:r>
          </w:p>
        </w:tc>
      </w:tr>
      <w:tr w:rsidR="000D732C" w:rsidTr="000D732C">
        <w:trPr>
          <w:trHeight w:val="900"/>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Наименование показателя</w:t>
            </w:r>
          </w:p>
        </w:tc>
        <w:tc>
          <w:tcPr>
            <w:tcW w:w="1176" w:type="dxa"/>
            <w:tcBorders>
              <w:top w:val="single" w:sz="4" w:space="0" w:color="auto"/>
              <w:left w:val="nil"/>
              <w:bottom w:val="single" w:sz="4" w:space="0" w:color="auto"/>
              <w:right w:val="single" w:sz="4" w:space="0" w:color="auto"/>
            </w:tcBorders>
            <w:shd w:val="clear" w:color="auto" w:fill="FFFFFF"/>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Код</w:t>
            </w:r>
          </w:p>
        </w:tc>
        <w:tc>
          <w:tcPr>
            <w:tcW w:w="1238" w:type="dxa"/>
            <w:tcBorders>
              <w:top w:val="single" w:sz="4" w:space="0" w:color="auto"/>
              <w:left w:val="nil"/>
              <w:bottom w:val="single" w:sz="4" w:space="0" w:color="auto"/>
              <w:right w:val="single" w:sz="4" w:space="0" w:color="auto"/>
            </w:tcBorders>
            <w:shd w:val="clear" w:color="auto" w:fill="FFFFFF"/>
            <w:vAlign w:val="center"/>
          </w:tcPr>
          <w:p w:rsidR="000D732C" w:rsidRDefault="000D732C">
            <w:pPr>
              <w:jc w:val="center"/>
              <w:rPr>
                <w:rFonts w:ascii="Calibri" w:hAnsi="Calibri" w:cs="Calibri"/>
                <w:color w:val="000000"/>
              </w:rPr>
            </w:pPr>
          </w:p>
        </w:tc>
        <w:tc>
          <w:tcPr>
            <w:tcW w:w="1238" w:type="dxa"/>
            <w:tcBorders>
              <w:top w:val="single" w:sz="4" w:space="0" w:color="auto"/>
              <w:left w:val="nil"/>
              <w:bottom w:val="single" w:sz="4" w:space="0" w:color="auto"/>
              <w:right w:val="single" w:sz="4" w:space="0" w:color="auto"/>
            </w:tcBorders>
            <w:shd w:val="clear" w:color="auto" w:fill="FFFFFF"/>
            <w:vAlign w:val="center"/>
          </w:tcPr>
          <w:p w:rsidR="000D732C" w:rsidRDefault="000D732C">
            <w:pPr>
              <w:jc w:val="center"/>
              <w:rPr>
                <w:rFonts w:ascii="Calibri" w:hAnsi="Calibri" w:cs="Calibri"/>
                <w:color w:val="000000"/>
              </w:rPr>
            </w:pPr>
          </w:p>
        </w:tc>
        <w:tc>
          <w:tcPr>
            <w:tcW w:w="1238" w:type="dxa"/>
            <w:tcBorders>
              <w:top w:val="single" w:sz="4" w:space="0" w:color="auto"/>
              <w:left w:val="nil"/>
              <w:bottom w:val="single" w:sz="4" w:space="0" w:color="auto"/>
              <w:right w:val="single" w:sz="4" w:space="0" w:color="auto"/>
            </w:tcBorders>
            <w:shd w:val="clear" w:color="auto" w:fill="FFFFFF"/>
            <w:vAlign w:val="center"/>
          </w:tcPr>
          <w:p w:rsidR="000D732C" w:rsidRDefault="000D732C">
            <w:pPr>
              <w:jc w:val="center"/>
              <w:rPr>
                <w:rFonts w:ascii="Calibri" w:hAnsi="Calibri" w:cs="Calibri"/>
                <w:color w:val="000000"/>
              </w:rPr>
            </w:pPr>
          </w:p>
        </w:tc>
        <w:tc>
          <w:tcPr>
            <w:tcW w:w="1238" w:type="dxa"/>
            <w:tcBorders>
              <w:top w:val="single" w:sz="4" w:space="0" w:color="auto"/>
              <w:left w:val="nil"/>
              <w:bottom w:val="single" w:sz="4" w:space="0" w:color="auto"/>
              <w:right w:val="single" w:sz="4" w:space="0" w:color="auto"/>
            </w:tcBorders>
            <w:shd w:val="clear" w:color="auto" w:fill="FFFFFF"/>
            <w:vAlign w:val="center"/>
          </w:tcPr>
          <w:p w:rsidR="000D732C" w:rsidRDefault="000D732C">
            <w:pPr>
              <w:jc w:val="center"/>
              <w:rPr>
                <w:rFonts w:ascii="Calibri" w:hAnsi="Calibri" w:cs="Calibri"/>
                <w:color w:val="000000"/>
              </w:rPr>
            </w:pPr>
          </w:p>
        </w:tc>
        <w:tc>
          <w:tcPr>
            <w:tcW w:w="1238" w:type="dxa"/>
            <w:tcBorders>
              <w:top w:val="single" w:sz="4" w:space="0" w:color="auto"/>
              <w:left w:val="nil"/>
              <w:bottom w:val="single" w:sz="4" w:space="0" w:color="auto"/>
              <w:right w:val="single" w:sz="4" w:space="0" w:color="auto"/>
            </w:tcBorders>
            <w:shd w:val="clear" w:color="auto" w:fill="FFFFFF"/>
            <w:vAlign w:val="center"/>
          </w:tcPr>
          <w:p w:rsidR="000D732C" w:rsidRDefault="000D732C">
            <w:pPr>
              <w:jc w:val="center"/>
              <w:rPr>
                <w:rFonts w:ascii="Calibri" w:hAnsi="Calibri" w:cs="Calibri"/>
                <w:color w:val="000000"/>
              </w:rPr>
            </w:pPr>
          </w:p>
        </w:tc>
        <w:tc>
          <w:tcPr>
            <w:tcW w:w="1769" w:type="dxa"/>
            <w:gridSpan w:val="2"/>
            <w:tcBorders>
              <w:top w:val="nil"/>
              <w:left w:val="nil"/>
              <w:bottom w:val="single" w:sz="4" w:space="0" w:color="auto"/>
              <w:right w:val="single" w:sz="4" w:space="0" w:color="auto"/>
            </w:tcBorders>
            <w:shd w:val="clear" w:color="auto" w:fill="FFFFFF"/>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На начало анализируемого периода</w:t>
            </w:r>
          </w:p>
        </w:tc>
        <w:tc>
          <w:tcPr>
            <w:tcW w:w="1769" w:type="dxa"/>
            <w:tcBorders>
              <w:top w:val="nil"/>
              <w:left w:val="nil"/>
              <w:bottom w:val="single" w:sz="4" w:space="0" w:color="auto"/>
              <w:right w:val="single" w:sz="4" w:space="0" w:color="auto"/>
            </w:tcBorders>
            <w:shd w:val="clear" w:color="auto" w:fill="FFFFFF"/>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На конец анализируемого периода</w:t>
            </w:r>
          </w:p>
        </w:tc>
        <w:tc>
          <w:tcPr>
            <w:tcW w:w="1655" w:type="dxa"/>
            <w:tcBorders>
              <w:top w:val="nil"/>
              <w:left w:val="nil"/>
              <w:bottom w:val="single" w:sz="4" w:space="0" w:color="auto"/>
              <w:right w:val="single" w:sz="4" w:space="0" w:color="auto"/>
            </w:tcBorders>
            <w:shd w:val="clear" w:color="auto" w:fill="FFFFFF"/>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тыс. руб.</w:t>
            </w:r>
          </w:p>
        </w:tc>
        <w:tc>
          <w:tcPr>
            <w:tcW w:w="1191" w:type="dxa"/>
            <w:tcBorders>
              <w:top w:val="nil"/>
              <w:left w:val="nil"/>
              <w:bottom w:val="single" w:sz="4" w:space="0" w:color="auto"/>
              <w:right w:val="single" w:sz="4" w:space="0" w:color="auto"/>
            </w:tcBorders>
            <w:shd w:val="clear" w:color="auto" w:fill="FFFFFF"/>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w:t>
            </w:r>
          </w:p>
        </w:tc>
      </w:tr>
      <w:tr w:rsidR="000D732C" w:rsidTr="000D732C">
        <w:trPr>
          <w:trHeight w:val="300"/>
        </w:trPr>
        <w:tc>
          <w:tcPr>
            <w:tcW w:w="2410" w:type="dxa"/>
            <w:tcBorders>
              <w:top w:val="nil"/>
              <w:left w:val="single" w:sz="4" w:space="0" w:color="auto"/>
              <w:bottom w:val="single" w:sz="4" w:space="0" w:color="auto"/>
              <w:right w:val="nil"/>
            </w:tcBorders>
            <w:shd w:val="clear" w:color="auto" w:fill="E2EFDA"/>
            <w:noWrap/>
            <w:vAlign w:val="bottom"/>
            <w:hideMark/>
          </w:tcPr>
          <w:p w:rsidR="000D732C" w:rsidRDefault="000D732C">
            <w:pPr>
              <w:rPr>
                <w:rFonts w:ascii="Calibri" w:hAnsi="Calibri" w:cs="Calibri"/>
                <w:b/>
                <w:bCs/>
                <w:color w:val="000000"/>
              </w:rPr>
            </w:pPr>
            <w:r>
              <w:rPr>
                <w:rFonts w:ascii="Calibri" w:hAnsi="Calibri" w:cs="Calibri"/>
                <w:b/>
                <w:bCs/>
                <w:color w:val="000000"/>
                <w:sz w:val="22"/>
                <w:szCs w:val="22"/>
              </w:rPr>
              <w:t>АКТИВ</w:t>
            </w:r>
          </w:p>
        </w:tc>
        <w:tc>
          <w:tcPr>
            <w:tcW w:w="1176" w:type="dxa"/>
            <w:tcBorders>
              <w:top w:val="nil"/>
              <w:left w:val="nil"/>
              <w:bottom w:val="single" w:sz="4" w:space="0" w:color="auto"/>
              <w:right w:val="nil"/>
            </w:tcBorders>
            <w:shd w:val="clear" w:color="auto" w:fill="E2EFDA"/>
            <w:noWrap/>
            <w:vAlign w:val="center"/>
            <w:hideMark/>
          </w:tcPr>
          <w:p w:rsidR="000D732C" w:rsidRDefault="000D732C">
            <w:pPr>
              <w:jc w:val="center"/>
              <w:rPr>
                <w:rFonts w:ascii="Calibri" w:hAnsi="Calibri" w:cs="Calibri"/>
                <w:b/>
                <w:bCs/>
                <w:color w:val="000000"/>
              </w:rPr>
            </w:pPr>
            <w:r>
              <w:rPr>
                <w:rFonts w:ascii="Calibri" w:hAnsi="Calibri" w:cs="Calibri"/>
                <w:b/>
                <w:bCs/>
                <w:color w:val="000000"/>
                <w:sz w:val="22"/>
                <w:szCs w:val="22"/>
              </w:rPr>
              <w:t> </w:t>
            </w:r>
          </w:p>
        </w:tc>
        <w:tc>
          <w:tcPr>
            <w:tcW w:w="1238" w:type="dxa"/>
            <w:tcBorders>
              <w:top w:val="nil"/>
              <w:left w:val="nil"/>
              <w:bottom w:val="single" w:sz="4" w:space="0" w:color="auto"/>
              <w:right w:val="nil"/>
            </w:tcBorders>
            <w:shd w:val="clear" w:color="auto" w:fill="E2EFDA"/>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w:t>
            </w:r>
          </w:p>
        </w:tc>
        <w:tc>
          <w:tcPr>
            <w:tcW w:w="1238" w:type="dxa"/>
            <w:tcBorders>
              <w:top w:val="nil"/>
              <w:left w:val="nil"/>
              <w:bottom w:val="single" w:sz="4" w:space="0" w:color="auto"/>
              <w:right w:val="nil"/>
            </w:tcBorders>
            <w:shd w:val="clear" w:color="auto" w:fill="E2EFDA"/>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w:t>
            </w:r>
          </w:p>
        </w:tc>
        <w:tc>
          <w:tcPr>
            <w:tcW w:w="1238" w:type="dxa"/>
            <w:tcBorders>
              <w:top w:val="nil"/>
              <w:left w:val="nil"/>
              <w:bottom w:val="single" w:sz="4" w:space="0" w:color="auto"/>
              <w:right w:val="nil"/>
            </w:tcBorders>
            <w:shd w:val="clear" w:color="auto" w:fill="E2EFDA"/>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w:t>
            </w:r>
          </w:p>
        </w:tc>
        <w:tc>
          <w:tcPr>
            <w:tcW w:w="1238" w:type="dxa"/>
            <w:tcBorders>
              <w:top w:val="nil"/>
              <w:left w:val="nil"/>
              <w:bottom w:val="single" w:sz="4" w:space="0" w:color="auto"/>
              <w:right w:val="nil"/>
            </w:tcBorders>
            <w:shd w:val="clear" w:color="auto" w:fill="E2EFDA"/>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w:t>
            </w:r>
          </w:p>
        </w:tc>
        <w:tc>
          <w:tcPr>
            <w:tcW w:w="1238" w:type="dxa"/>
            <w:tcBorders>
              <w:top w:val="nil"/>
              <w:left w:val="nil"/>
              <w:bottom w:val="single" w:sz="4" w:space="0" w:color="auto"/>
              <w:right w:val="nil"/>
            </w:tcBorders>
            <w:shd w:val="clear" w:color="auto" w:fill="E2EFDA"/>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w:t>
            </w:r>
          </w:p>
        </w:tc>
        <w:tc>
          <w:tcPr>
            <w:tcW w:w="1769" w:type="dxa"/>
            <w:gridSpan w:val="2"/>
            <w:tcBorders>
              <w:top w:val="nil"/>
              <w:left w:val="nil"/>
              <w:bottom w:val="single" w:sz="4" w:space="0" w:color="auto"/>
              <w:right w:val="nil"/>
            </w:tcBorders>
            <w:shd w:val="clear" w:color="auto" w:fill="E2EFDA"/>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w:t>
            </w:r>
          </w:p>
        </w:tc>
        <w:tc>
          <w:tcPr>
            <w:tcW w:w="1769" w:type="dxa"/>
            <w:tcBorders>
              <w:top w:val="nil"/>
              <w:left w:val="nil"/>
              <w:bottom w:val="single" w:sz="4" w:space="0" w:color="auto"/>
              <w:right w:val="nil"/>
            </w:tcBorders>
            <w:shd w:val="clear" w:color="auto" w:fill="E2EFDA"/>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w:t>
            </w:r>
          </w:p>
        </w:tc>
        <w:tc>
          <w:tcPr>
            <w:tcW w:w="1655" w:type="dxa"/>
            <w:tcBorders>
              <w:top w:val="nil"/>
              <w:left w:val="nil"/>
              <w:bottom w:val="single" w:sz="4" w:space="0" w:color="auto"/>
              <w:right w:val="nil"/>
            </w:tcBorders>
            <w:shd w:val="clear" w:color="auto" w:fill="E2EFDA"/>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w:t>
            </w:r>
          </w:p>
        </w:tc>
        <w:tc>
          <w:tcPr>
            <w:tcW w:w="1191" w:type="dxa"/>
            <w:tcBorders>
              <w:top w:val="nil"/>
              <w:left w:val="nil"/>
              <w:bottom w:val="single" w:sz="4" w:space="0" w:color="auto"/>
              <w:right w:val="nil"/>
            </w:tcBorders>
            <w:shd w:val="clear" w:color="auto" w:fill="E2EFDA"/>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w:t>
            </w:r>
          </w:p>
        </w:tc>
      </w:tr>
      <w:tr w:rsidR="000D732C" w:rsidTr="000D732C">
        <w:trPr>
          <w:trHeight w:val="300"/>
        </w:trPr>
        <w:tc>
          <w:tcPr>
            <w:tcW w:w="2410" w:type="dxa"/>
            <w:tcBorders>
              <w:top w:val="nil"/>
              <w:left w:val="single" w:sz="4" w:space="0" w:color="auto"/>
              <w:bottom w:val="nil"/>
              <w:right w:val="nil"/>
            </w:tcBorders>
            <w:shd w:val="clear" w:color="auto" w:fill="D9E1F2"/>
            <w:vAlign w:val="bottom"/>
            <w:hideMark/>
          </w:tcPr>
          <w:p w:rsidR="000D732C" w:rsidRDefault="000D732C">
            <w:pPr>
              <w:rPr>
                <w:rFonts w:ascii="Calibri" w:hAnsi="Calibri" w:cs="Calibri"/>
                <w:color w:val="000000"/>
              </w:rPr>
            </w:pPr>
            <w:r>
              <w:rPr>
                <w:rFonts w:ascii="Calibri" w:hAnsi="Calibri" w:cs="Calibri"/>
                <w:color w:val="000000"/>
                <w:sz w:val="22"/>
                <w:szCs w:val="22"/>
              </w:rPr>
              <w:t>I. ВНЕОБОРОТНЫЕ АКТИВЫ</w:t>
            </w:r>
          </w:p>
        </w:tc>
        <w:tc>
          <w:tcPr>
            <w:tcW w:w="1176" w:type="dxa"/>
            <w:shd w:val="clear" w:color="auto" w:fill="D9E1F2"/>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655"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191"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tcBorders>
              <w:top w:val="single" w:sz="4" w:space="0" w:color="auto"/>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Нематериальные активы</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1110</w:t>
            </w:r>
          </w:p>
        </w:tc>
        <w:tc>
          <w:tcPr>
            <w:tcW w:w="1238" w:type="dxa"/>
            <w:tcBorders>
              <w:top w:val="single" w:sz="4" w:space="0" w:color="auto"/>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single" w:sz="4" w:space="0" w:color="auto"/>
              <w:left w:val="nil"/>
              <w:bottom w:val="single" w:sz="4" w:space="0" w:color="auto"/>
              <w:right w:val="nil"/>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single" w:sz="4" w:space="0" w:color="auto"/>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single" w:sz="4" w:space="0" w:color="auto"/>
              <w:left w:val="nil"/>
              <w:bottom w:val="single" w:sz="4" w:space="0" w:color="auto"/>
              <w:right w:val="nil"/>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xml:space="preserve">                                         - </w:t>
            </w:r>
          </w:p>
        </w:tc>
        <w:tc>
          <w:tcPr>
            <w:tcW w:w="1191" w:type="dxa"/>
            <w:tcBorders>
              <w:top w:val="single" w:sz="4" w:space="0" w:color="auto"/>
              <w:left w:val="single" w:sz="4" w:space="0" w:color="auto"/>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Результаты исследований и разработок</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1120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nil"/>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nil"/>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Нематериальные поисковые активы</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1130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nil"/>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nil"/>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Материальные поисковые активы</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1140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nil"/>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nil"/>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Основные средства</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1150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nil"/>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nil"/>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6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Доходные вложения в материальные</w:t>
            </w:r>
            <w:r>
              <w:rPr>
                <w:rFonts w:ascii="Calibri" w:hAnsi="Calibri" w:cs="Calibri"/>
                <w:color w:val="000000"/>
                <w:sz w:val="22"/>
                <w:szCs w:val="22"/>
              </w:rPr>
              <w:br/>
              <w:t>ценности</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1160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nil"/>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nil"/>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Финансовые вложения</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1170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nil"/>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nil"/>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Отложенные налоговые активы</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1180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nil"/>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nil"/>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 xml:space="preserve">Прочие </w:t>
            </w:r>
            <w:proofErr w:type="spellStart"/>
            <w:r>
              <w:rPr>
                <w:rFonts w:ascii="Calibri" w:hAnsi="Calibri" w:cs="Calibri"/>
                <w:color w:val="000000"/>
                <w:sz w:val="22"/>
                <w:szCs w:val="22"/>
              </w:rPr>
              <w:t>внеоборотные</w:t>
            </w:r>
            <w:proofErr w:type="spellEnd"/>
            <w:r>
              <w:rPr>
                <w:rFonts w:ascii="Calibri" w:hAnsi="Calibri" w:cs="Calibri"/>
                <w:color w:val="000000"/>
                <w:sz w:val="22"/>
                <w:szCs w:val="22"/>
              </w:rPr>
              <w:t xml:space="preserve"> активы</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1190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nil"/>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single" w:sz="4" w:space="0" w:color="auto"/>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nil"/>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xml:space="preserve">                                         - </w:t>
            </w:r>
          </w:p>
        </w:tc>
        <w:tc>
          <w:tcPr>
            <w:tcW w:w="1191" w:type="dxa"/>
            <w:tcBorders>
              <w:top w:val="nil"/>
              <w:left w:val="single" w:sz="4" w:space="0" w:color="auto"/>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b/>
                <w:bCs/>
                <w:color w:val="000000"/>
              </w:rPr>
            </w:pPr>
            <w:r>
              <w:rPr>
                <w:rFonts w:ascii="Calibri" w:hAnsi="Calibri" w:cs="Calibri"/>
                <w:b/>
                <w:bCs/>
                <w:color w:val="000000"/>
                <w:sz w:val="22"/>
                <w:szCs w:val="22"/>
              </w:rPr>
              <w:t>Итого по разделу I</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b/>
                <w:bCs/>
                <w:color w:val="000000"/>
              </w:rPr>
            </w:pPr>
            <w:r>
              <w:rPr>
                <w:rFonts w:ascii="Calibri" w:hAnsi="Calibri" w:cs="Calibri"/>
                <w:b/>
                <w:bCs/>
                <w:color w:val="000000"/>
                <w:sz w:val="22"/>
                <w:szCs w:val="22"/>
              </w:rPr>
              <w:t>1100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238" w:type="dxa"/>
            <w:tcBorders>
              <w:top w:val="nil"/>
              <w:left w:val="nil"/>
              <w:bottom w:val="single" w:sz="4" w:space="0" w:color="auto"/>
              <w:right w:val="nil"/>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769" w:type="dxa"/>
            <w:gridSpan w:val="2"/>
            <w:tcBorders>
              <w:top w:val="nil"/>
              <w:left w:val="single" w:sz="4" w:space="0" w:color="auto"/>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nil"/>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191" w:type="dxa"/>
            <w:tcBorders>
              <w:top w:val="nil"/>
              <w:left w:val="single" w:sz="4" w:space="0" w:color="auto"/>
              <w:bottom w:val="single" w:sz="4" w:space="0" w:color="auto"/>
              <w:right w:val="single" w:sz="4" w:space="0" w:color="auto"/>
            </w:tcBorders>
            <w:noWrap/>
            <w:vAlign w:val="center"/>
          </w:tcPr>
          <w:p w:rsidR="000D732C" w:rsidRDefault="000D732C">
            <w:pPr>
              <w:jc w:val="right"/>
              <w:rPr>
                <w:rFonts w:ascii="Calibri" w:hAnsi="Calibri" w:cs="Calibri"/>
                <w:b/>
                <w:bCs/>
                <w:color w:val="000000"/>
              </w:rPr>
            </w:pPr>
          </w:p>
        </w:tc>
      </w:tr>
      <w:tr w:rsidR="000D732C" w:rsidTr="000D732C">
        <w:trPr>
          <w:trHeight w:val="300"/>
        </w:trPr>
        <w:tc>
          <w:tcPr>
            <w:tcW w:w="2410" w:type="dxa"/>
            <w:tcBorders>
              <w:top w:val="nil"/>
              <w:left w:val="single" w:sz="4" w:space="0" w:color="auto"/>
              <w:bottom w:val="nil"/>
              <w:right w:val="nil"/>
            </w:tcBorders>
            <w:shd w:val="clear" w:color="auto" w:fill="D9E1F2"/>
            <w:vAlign w:val="bottom"/>
            <w:hideMark/>
          </w:tcPr>
          <w:p w:rsidR="000D732C" w:rsidRDefault="000D732C">
            <w:pPr>
              <w:rPr>
                <w:rFonts w:ascii="Calibri" w:hAnsi="Calibri" w:cs="Calibri"/>
                <w:color w:val="000000"/>
              </w:rPr>
            </w:pPr>
            <w:r>
              <w:rPr>
                <w:rFonts w:ascii="Calibri" w:hAnsi="Calibri" w:cs="Calibri"/>
                <w:color w:val="000000"/>
                <w:sz w:val="22"/>
                <w:szCs w:val="22"/>
              </w:rPr>
              <w:lastRenderedPageBreak/>
              <w:t>II. ОБОРОТНЫЕ АКТИВЫ</w:t>
            </w:r>
          </w:p>
        </w:tc>
        <w:tc>
          <w:tcPr>
            <w:tcW w:w="1176" w:type="dxa"/>
            <w:tcBorders>
              <w:top w:val="nil"/>
              <w:left w:val="single" w:sz="4" w:space="0" w:color="auto"/>
              <w:bottom w:val="nil"/>
              <w:right w:val="nil"/>
            </w:tcBorders>
            <w:shd w:val="clear" w:color="auto" w:fill="D9E1F2"/>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tcBorders>
              <w:top w:val="nil"/>
              <w:left w:val="nil"/>
              <w:bottom w:val="nil"/>
              <w:right w:val="single" w:sz="4" w:space="0" w:color="auto"/>
            </w:tcBorders>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655" w:type="dxa"/>
            <w:shd w:val="clear" w:color="auto" w:fill="D9E1F2"/>
            <w:noWrap/>
            <w:vAlign w:val="center"/>
          </w:tcPr>
          <w:p w:rsidR="000D732C" w:rsidRDefault="000D732C">
            <w:pPr>
              <w:jc w:val="right"/>
              <w:rPr>
                <w:rFonts w:ascii="Calibri" w:hAnsi="Calibri" w:cs="Calibri"/>
                <w:color w:val="000000"/>
              </w:rPr>
            </w:pPr>
          </w:p>
        </w:tc>
        <w:tc>
          <w:tcPr>
            <w:tcW w:w="1191" w:type="dxa"/>
            <w:tcBorders>
              <w:top w:val="nil"/>
              <w:left w:val="nil"/>
              <w:bottom w:val="nil"/>
              <w:right w:val="single" w:sz="4" w:space="0" w:color="auto"/>
            </w:tcBorders>
            <w:shd w:val="clear" w:color="auto" w:fill="D9E1F2"/>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single" w:sz="4" w:space="0" w:color="auto"/>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Запасы</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1210</w:t>
            </w:r>
          </w:p>
        </w:tc>
        <w:tc>
          <w:tcPr>
            <w:tcW w:w="1238" w:type="dxa"/>
            <w:tcBorders>
              <w:top w:val="single" w:sz="4" w:space="0" w:color="auto"/>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single" w:sz="4" w:space="0" w:color="auto"/>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single" w:sz="4" w:space="0" w:color="auto"/>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single" w:sz="4" w:space="0" w:color="auto"/>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tcBorders>
              <w:top w:val="single" w:sz="4" w:space="0" w:color="auto"/>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6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Налог на добавленную стоимость по приобретенным ценностям</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1220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Дебиторская задолженность</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1230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6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Финансовые вложения (за исключением денежных эквивалентов)</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1240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Денежные средства и денежные эквиваленты</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1250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Прочие оборотные активы</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1260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b/>
                <w:bCs/>
                <w:color w:val="000000"/>
              </w:rPr>
            </w:pPr>
            <w:r>
              <w:rPr>
                <w:rFonts w:ascii="Calibri" w:hAnsi="Calibri" w:cs="Calibri"/>
                <w:b/>
                <w:bCs/>
                <w:color w:val="000000"/>
                <w:sz w:val="22"/>
                <w:szCs w:val="22"/>
              </w:rPr>
              <w:t>Итого по разделу II</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b/>
                <w:bCs/>
                <w:color w:val="000000"/>
              </w:rPr>
            </w:pPr>
            <w:r>
              <w:rPr>
                <w:rFonts w:ascii="Calibri" w:hAnsi="Calibri" w:cs="Calibri"/>
                <w:b/>
                <w:bCs/>
                <w:color w:val="000000"/>
                <w:sz w:val="22"/>
                <w:szCs w:val="22"/>
              </w:rPr>
              <w:t>1200</w:t>
            </w: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769" w:type="dxa"/>
            <w:gridSpan w:val="2"/>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191"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b/>
                <w:bCs/>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b/>
                <w:bCs/>
                <w:color w:val="000000"/>
              </w:rPr>
            </w:pPr>
            <w:r>
              <w:rPr>
                <w:rFonts w:ascii="Calibri" w:hAnsi="Calibri" w:cs="Calibri"/>
                <w:b/>
                <w:bCs/>
                <w:color w:val="000000"/>
                <w:sz w:val="22"/>
                <w:szCs w:val="22"/>
              </w:rPr>
              <w:t>БАЛАНС</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b/>
                <w:bCs/>
                <w:color w:val="000000"/>
              </w:rPr>
            </w:pPr>
            <w:r>
              <w:rPr>
                <w:rFonts w:ascii="Calibri" w:hAnsi="Calibri" w:cs="Calibri"/>
                <w:b/>
                <w:bCs/>
                <w:color w:val="000000"/>
                <w:sz w:val="22"/>
                <w:szCs w:val="22"/>
              </w:rPr>
              <w:t>1600</w:t>
            </w: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769" w:type="dxa"/>
            <w:gridSpan w:val="2"/>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191"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b/>
                <w:bCs/>
                <w:color w:val="000000"/>
              </w:rPr>
            </w:pPr>
          </w:p>
        </w:tc>
      </w:tr>
      <w:tr w:rsidR="000D732C" w:rsidTr="000D732C">
        <w:trPr>
          <w:trHeight w:val="300"/>
        </w:trPr>
        <w:tc>
          <w:tcPr>
            <w:tcW w:w="2410" w:type="dxa"/>
            <w:tcBorders>
              <w:top w:val="nil"/>
              <w:left w:val="single" w:sz="4" w:space="0" w:color="auto"/>
              <w:bottom w:val="single" w:sz="4" w:space="0" w:color="auto"/>
              <w:right w:val="nil"/>
            </w:tcBorders>
            <w:noWrap/>
            <w:vAlign w:val="bottom"/>
            <w:hideMark/>
          </w:tcPr>
          <w:p w:rsidR="000D732C" w:rsidRDefault="000D732C">
            <w:pPr>
              <w:rPr>
                <w:rFonts w:ascii="Calibri" w:hAnsi="Calibri" w:cs="Calibri"/>
                <w:b/>
                <w:bCs/>
                <w:color w:val="000000"/>
              </w:rPr>
            </w:pPr>
            <w:r>
              <w:rPr>
                <w:rFonts w:ascii="Calibri" w:hAnsi="Calibri" w:cs="Calibri"/>
                <w:b/>
                <w:bCs/>
                <w:color w:val="000000"/>
                <w:sz w:val="22"/>
                <w:szCs w:val="22"/>
              </w:rPr>
              <w:t>ПАССИВ</w:t>
            </w:r>
          </w:p>
        </w:tc>
        <w:tc>
          <w:tcPr>
            <w:tcW w:w="1176" w:type="dxa"/>
            <w:tcBorders>
              <w:top w:val="nil"/>
              <w:left w:val="single" w:sz="4" w:space="0" w:color="auto"/>
              <w:bottom w:val="single" w:sz="4" w:space="0" w:color="auto"/>
              <w:right w:val="nil"/>
            </w:tcBorders>
            <w:noWrap/>
            <w:vAlign w:val="center"/>
            <w:hideMark/>
          </w:tcPr>
          <w:p w:rsidR="000D732C" w:rsidRDefault="000D732C">
            <w:pPr>
              <w:jc w:val="center"/>
              <w:rPr>
                <w:rFonts w:ascii="Calibri" w:hAnsi="Calibri" w:cs="Calibri"/>
                <w:b/>
                <w:bCs/>
                <w:color w:val="000000"/>
              </w:rPr>
            </w:pPr>
            <w:r>
              <w:rPr>
                <w:rFonts w:ascii="Calibri" w:hAnsi="Calibri" w:cs="Calibri"/>
                <w:b/>
                <w:bCs/>
                <w:color w:val="000000"/>
                <w:sz w:val="22"/>
                <w:szCs w:val="22"/>
              </w:rPr>
              <w:t> </w:t>
            </w:r>
          </w:p>
        </w:tc>
        <w:tc>
          <w:tcPr>
            <w:tcW w:w="1238" w:type="dxa"/>
            <w:tcBorders>
              <w:top w:val="nil"/>
              <w:left w:val="nil"/>
              <w:bottom w:val="single" w:sz="4" w:space="0" w:color="auto"/>
              <w:right w:val="nil"/>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w:t>
            </w:r>
          </w:p>
        </w:tc>
        <w:tc>
          <w:tcPr>
            <w:tcW w:w="1238" w:type="dxa"/>
            <w:tcBorders>
              <w:top w:val="nil"/>
              <w:left w:val="nil"/>
              <w:bottom w:val="single" w:sz="4" w:space="0" w:color="auto"/>
              <w:right w:val="nil"/>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w:t>
            </w:r>
          </w:p>
        </w:tc>
        <w:tc>
          <w:tcPr>
            <w:tcW w:w="1238" w:type="dxa"/>
            <w:tcBorders>
              <w:top w:val="nil"/>
              <w:left w:val="nil"/>
              <w:bottom w:val="single" w:sz="4" w:space="0" w:color="auto"/>
              <w:right w:val="nil"/>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w:t>
            </w:r>
          </w:p>
        </w:tc>
        <w:tc>
          <w:tcPr>
            <w:tcW w:w="1769" w:type="dxa"/>
            <w:gridSpan w:val="2"/>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b/>
                <w:bCs/>
                <w:color w:val="000000"/>
              </w:rPr>
            </w:pPr>
          </w:p>
        </w:tc>
        <w:tc>
          <w:tcPr>
            <w:tcW w:w="1191"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b/>
                <w:bCs/>
                <w:color w:val="000000"/>
              </w:rPr>
            </w:pPr>
          </w:p>
        </w:tc>
      </w:tr>
      <w:tr w:rsidR="000D732C" w:rsidTr="000D732C">
        <w:trPr>
          <w:trHeight w:val="300"/>
        </w:trPr>
        <w:tc>
          <w:tcPr>
            <w:tcW w:w="2410" w:type="dxa"/>
            <w:tcBorders>
              <w:top w:val="nil"/>
              <w:left w:val="single" w:sz="4" w:space="0" w:color="auto"/>
              <w:bottom w:val="nil"/>
              <w:right w:val="nil"/>
            </w:tcBorders>
            <w:shd w:val="clear" w:color="auto" w:fill="D9E1F2"/>
            <w:vAlign w:val="bottom"/>
            <w:hideMark/>
          </w:tcPr>
          <w:p w:rsidR="000D732C" w:rsidRDefault="000D732C">
            <w:pPr>
              <w:rPr>
                <w:rFonts w:ascii="Calibri" w:hAnsi="Calibri" w:cs="Calibri"/>
                <w:color w:val="000000"/>
              </w:rPr>
            </w:pPr>
            <w:r>
              <w:rPr>
                <w:rFonts w:ascii="Calibri" w:hAnsi="Calibri" w:cs="Calibri"/>
                <w:color w:val="000000"/>
                <w:sz w:val="22"/>
                <w:szCs w:val="22"/>
              </w:rPr>
              <w:t>III. КАПИТАЛ И РЕЗЕРВЫ</w:t>
            </w:r>
          </w:p>
        </w:tc>
        <w:tc>
          <w:tcPr>
            <w:tcW w:w="1176" w:type="dxa"/>
            <w:tcBorders>
              <w:top w:val="nil"/>
              <w:left w:val="single" w:sz="4" w:space="0" w:color="auto"/>
              <w:bottom w:val="nil"/>
              <w:right w:val="nil"/>
            </w:tcBorders>
            <w:shd w:val="clear" w:color="auto" w:fill="D9E1F2"/>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tcBorders>
              <w:top w:val="nil"/>
              <w:left w:val="nil"/>
              <w:bottom w:val="nil"/>
              <w:right w:val="single" w:sz="4" w:space="0" w:color="auto"/>
            </w:tcBorders>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655" w:type="dxa"/>
            <w:shd w:val="clear" w:color="auto" w:fill="D9E1F2"/>
            <w:noWrap/>
            <w:vAlign w:val="center"/>
          </w:tcPr>
          <w:p w:rsidR="000D732C" w:rsidRDefault="000D732C">
            <w:pPr>
              <w:jc w:val="right"/>
              <w:rPr>
                <w:rFonts w:ascii="Calibri" w:hAnsi="Calibri" w:cs="Calibri"/>
                <w:color w:val="000000"/>
              </w:rPr>
            </w:pPr>
          </w:p>
        </w:tc>
        <w:tc>
          <w:tcPr>
            <w:tcW w:w="1191" w:type="dxa"/>
            <w:tcBorders>
              <w:top w:val="nil"/>
              <w:left w:val="nil"/>
              <w:bottom w:val="nil"/>
              <w:right w:val="single" w:sz="4" w:space="0" w:color="auto"/>
            </w:tcBorders>
            <w:shd w:val="clear" w:color="auto" w:fill="D9E1F2"/>
            <w:noWrap/>
            <w:vAlign w:val="center"/>
          </w:tcPr>
          <w:p w:rsidR="000D732C" w:rsidRDefault="000D732C">
            <w:pPr>
              <w:jc w:val="right"/>
              <w:rPr>
                <w:rFonts w:ascii="Calibri" w:hAnsi="Calibri" w:cs="Calibri"/>
                <w:color w:val="000000"/>
              </w:rPr>
            </w:pPr>
          </w:p>
        </w:tc>
      </w:tr>
      <w:tr w:rsidR="000D732C" w:rsidTr="000D732C">
        <w:trPr>
          <w:trHeight w:val="600"/>
        </w:trPr>
        <w:tc>
          <w:tcPr>
            <w:tcW w:w="2410" w:type="dxa"/>
            <w:tcBorders>
              <w:top w:val="single" w:sz="4" w:space="0" w:color="auto"/>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Уставный капитал (складочный капитал, уставный фонд, вклады товарищей)</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1310</w:t>
            </w:r>
          </w:p>
        </w:tc>
        <w:tc>
          <w:tcPr>
            <w:tcW w:w="1238" w:type="dxa"/>
            <w:tcBorders>
              <w:top w:val="single" w:sz="4" w:space="0" w:color="000000"/>
              <w:left w:val="nil"/>
              <w:bottom w:val="single" w:sz="4" w:space="0" w:color="000000"/>
              <w:right w:val="single" w:sz="4" w:space="0" w:color="000000"/>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 </w:t>
            </w:r>
          </w:p>
        </w:tc>
        <w:tc>
          <w:tcPr>
            <w:tcW w:w="1238" w:type="dxa"/>
            <w:tcBorders>
              <w:top w:val="single" w:sz="4" w:space="0" w:color="auto"/>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single" w:sz="4" w:space="0" w:color="auto"/>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single" w:sz="4" w:space="0" w:color="auto"/>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single" w:sz="4" w:space="0" w:color="auto"/>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tcBorders>
              <w:top w:val="single" w:sz="4" w:space="0" w:color="auto"/>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Собственные акции, выкупленные у акционеров</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1320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 xml:space="preserve">Переоценка </w:t>
            </w:r>
            <w:proofErr w:type="spellStart"/>
            <w:r>
              <w:rPr>
                <w:rFonts w:ascii="Calibri" w:hAnsi="Calibri" w:cs="Calibri"/>
                <w:color w:val="000000"/>
                <w:sz w:val="22"/>
                <w:szCs w:val="22"/>
              </w:rPr>
              <w:t>внеоборотных</w:t>
            </w:r>
            <w:proofErr w:type="spellEnd"/>
            <w:r>
              <w:rPr>
                <w:rFonts w:ascii="Calibri" w:hAnsi="Calibri" w:cs="Calibri"/>
                <w:color w:val="000000"/>
                <w:sz w:val="22"/>
                <w:szCs w:val="22"/>
              </w:rPr>
              <w:t xml:space="preserve"> активов</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1340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Добавочный капитал (без переоценки)</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1350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Резервный капитал</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1360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6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lastRenderedPageBreak/>
              <w:t>Нераспределенная прибыль (непокрытый убыток)</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1370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b/>
                <w:bCs/>
                <w:color w:val="000000"/>
              </w:rPr>
            </w:pPr>
            <w:r>
              <w:rPr>
                <w:rFonts w:ascii="Calibri" w:hAnsi="Calibri" w:cs="Calibri"/>
                <w:b/>
                <w:bCs/>
                <w:color w:val="000000"/>
                <w:sz w:val="22"/>
                <w:szCs w:val="22"/>
              </w:rPr>
              <w:t>Итого по разделу III</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b/>
                <w:bCs/>
                <w:color w:val="000000"/>
              </w:rPr>
            </w:pPr>
            <w:r>
              <w:rPr>
                <w:rFonts w:ascii="Calibri" w:hAnsi="Calibri" w:cs="Calibri"/>
                <w:b/>
                <w:bCs/>
                <w:color w:val="000000"/>
                <w:sz w:val="22"/>
                <w:szCs w:val="22"/>
              </w:rPr>
              <w:t>1300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769" w:type="dxa"/>
            <w:gridSpan w:val="2"/>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191"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b/>
                <w:bCs/>
                <w:color w:val="000000"/>
              </w:rPr>
            </w:pPr>
          </w:p>
        </w:tc>
      </w:tr>
      <w:tr w:rsidR="000D732C" w:rsidTr="000D732C">
        <w:trPr>
          <w:trHeight w:val="300"/>
        </w:trPr>
        <w:tc>
          <w:tcPr>
            <w:tcW w:w="2410" w:type="dxa"/>
            <w:tcBorders>
              <w:top w:val="nil"/>
              <w:left w:val="single" w:sz="4" w:space="0" w:color="auto"/>
              <w:bottom w:val="nil"/>
              <w:right w:val="nil"/>
            </w:tcBorders>
            <w:shd w:val="clear" w:color="auto" w:fill="D9E1F2"/>
            <w:vAlign w:val="bottom"/>
            <w:hideMark/>
          </w:tcPr>
          <w:p w:rsidR="000D732C" w:rsidRDefault="000D732C">
            <w:pPr>
              <w:rPr>
                <w:rFonts w:ascii="Calibri" w:hAnsi="Calibri" w:cs="Calibri"/>
                <w:color w:val="000000"/>
              </w:rPr>
            </w:pPr>
            <w:r>
              <w:rPr>
                <w:rFonts w:ascii="Calibri" w:hAnsi="Calibri" w:cs="Calibri"/>
                <w:color w:val="000000"/>
                <w:sz w:val="22"/>
                <w:szCs w:val="22"/>
              </w:rPr>
              <w:t>IV. ДОЛГОСРОЧНЫЕ ОБЯЗАТЕЛЬСТВА</w:t>
            </w:r>
          </w:p>
        </w:tc>
        <w:tc>
          <w:tcPr>
            <w:tcW w:w="1176" w:type="dxa"/>
            <w:tcBorders>
              <w:top w:val="nil"/>
              <w:left w:val="single" w:sz="4" w:space="0" w:color="auto"/>
              <w:bottom w:val="nil"/>
              <w:right w:val="nil"/>
            </w:tcBorders>
            <w:shd w:val="clear" w:color="auto" w:fill="D9E1F2"/>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nil"/>
              <w:right w:val="single" w:sz="4" w:space="0" w:color="auto"/>
            </w:tcBorders>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shd w:val="clear" w:color="auto" w:fill="D9E1F2"/>
            <w:noWrap/>
            <w:vAlign w:val="center"/>
          </w:tcPr>
          <w:p w:rsidR="000D732C" w:rsidRDefault="000D732C">
            <w:pPr>
              <w:rPr>
                <w:rFonts w:ascii="Calibri" w:hAnsi="Calibri" w:cs="Calibri"/>
                <w:color w:val="000000"/>
              </w:rPr>
            </w:pPr>
          </w:p>
        </w:tc>
        <w:tc>
          <w:tcPr>
            <w:tcW w:w="1769" w:type="dxa"/>
            <w:tcBorders>
              <w:top w:val="nil"/>
              <w:left w:val="nil"/>
              <w:bottom w:val="nil"/>
              <w:right w:val="single" w:sz="4" w:space="0" w:color="auto"/>
            </w:tcBorders>
            <w:shd w:val="clear" w:color="auto" w:fill="D9E1F2"/>
            <w:noWrap/>
            <w:vAlign w:val="center"/>
          </w:tcPr>
          <w:p w:rsidR="000D732C" w:rsidRDefault="000D732C">
            <w:pPr>
              <w:rPr>
                <w:rFonts w:ascii="Calibri" w:hAnsi="Calibri" w:cs="Calibri"/>
                <w:color w:val="000000"/>
              </w:rPr>
            </w:pPr>
          </w:p>
        </w:tc>
        <w:tc>
          <w:tcPr>
            <w:tcW w:w="1655" w:type="dxa"/>
            <w:tcBorders>
              <w:top w:val="nil"/>
              <w:left w:val="nil"/>
              <w:bottom w:val="nil"/>
              <w:right w:val="single" w:sz="4" w:space="0" w:color="auto"/>
            </w:tcBorders>
            <w:shd w:val="clear" w:color="auto" w:fill="D9E1F2"/>
            <w:noWrap/>
            <w:vAlign w:val="center"/>
          </w:tcPr>
          <w:p w:rsidR="000D732C" w:rsidRDefault="000D732C">
            <w:pPr>
              <w:jc w:val="right"/>
              <w:rPr>
                <w:rFonts w:ascii="Calibri" w:hAnsi="Calibri" w:cs="Calibri"/>
                <w:color w:val="000000"/>
              </w:rPr>
            </w:pPr>
          </w:p>
        </w:tc>
        <w:tc>
          <w:tcPr>
            <w:tcW w:w="1191" w:type="dxa"/>
            <w:tcBorders>
              <w:top w:val="nil"/>
              <w:left w:val="nil"/>
              <w:bottom w:val="nil"/>
              <w:right w:val="single" w:sz="4" w:space="0" w:color="auto"/>
            </w:tcBorders>
            <w:shd w:val="clear" w:color="auto" w:fill="D9E1F2"/>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single" w:sz="4" w:space="0" w:color="auto"/>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Заемные средства</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1410</w:t>
            </w:r>
          </w:p>
        </w:tc>
        <w:tc>
          <w:tcPr>
            <w:tcW w:w="1238" w:type="dxa"/>
            <w:tcBorders>
              <w:top w:val="single" w:sz="4" w:space="0" w:color="auto"/>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single" w:sz="4" w:space="0" w:color="auto"/>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single" w:sz="4" w:space="0" w:color="auto"/>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single" w:sz="4" w:space="0" w:color="auto"/>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tcBorders>
              <w:top w:val="single" w:sz="4" w:space="0" w:color="auto"/>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Отложенные налоговые обязательства</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1420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Оценочные обязательства</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1430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Прочие обязательства</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1450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b/>
                <w:bCs/>
                <w:color w:val="000000"/>
              </w:rPr>
            </w:pPr>
            <w:r>
              <w:rPr>
                <w:rFonts w:ascii="Calibri" w:hAnsi="Calibri" w:cs="Calibri"/>
                <w:b/>
                <w:bCs/>
                <w:color w:val="000000"/>
                <w:sz w:val="22"/>
                <w:szCs w:val="22"/>
              </w:rPr>
              <w:t>Итого по разделу IV</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b/>
                <w:bCs/>
                <w:color w:val="000000"/>
              </w:rPr>
            </w:pPr>
            <w:r>
              <w:rPr>
                <w:rFonts w:ascii="Calibri" w:hAnsi="Calibri" w:cs="Calibri"/>
                <w:b/>
                <w:bCs/>
                <w:color w:val="000000"/>
                <w:sz w:val="22"/>
                <w:szCs w:val="22"/>
              </w:rPr>
              <w:t>1400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769" w:type="dxa"/>
            <w:gridSpan w:val="2"/>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191"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b/>
                <w:bCs/>
                <w:color w:val="000000"/>
              </w:rPr>
            </w:pPr>
          </w:p>
        </w:tc>
      </w:tr>
      <w:tr w:rsidR="000D732C" w:rsidTr="000D732C">
        <w:trPr>
          <w:trHeight w:val="300"/>
        </w:trPr>
        <w:tc>
          <w:tcPr>
            <w:tcW w:w="2410" w:type="dxa"/>
            <w:tcBorders>
              <w:top w:val="nil"/>
              <w:left w:val="single" w:sz="4" w:space="0" w:color="auto"/>
              <w:bottom w:val="nil"/>
              <w:right w:val="nil"/>
            </w:tcBorders>
            <w:shd w:val="clear" w:color="auto" w:fill="D9E1F2"/>
            <w:vAlign w:val="bottom"/>
            <w:hideMark/>
          </w:tcPr>
          <w:p w:rsidR="000D732C" w:rsidRDefault="000D732C">
            <w:pPr>
              <w:rPr>
                <w:rFonts w:ascii="Calibri" w:hAnsi="Calibri" w:cs="Calibri"/>
                <w:color w:val="000000"/>
              </w:rPr>
            </w:pPr>
            <w:r>
              <w:rPr>
                <w:rFonts w:ascii="Calibri" w:hAnsi="Calibri" w:cs="Calibri"/>
                <w:color w:val="000000"/>
                <w:sz w:val="22"/>
                <w:szCs w:val="22"/>
              </w:rPr>
              <w:t>V. КРАТКОСРОЧНЫЕ ОБЯЗАТЕЛЬСТВА</w:t>
            </w:r>
          </w:p>
        </w:tc>
        <w:tc>
          <w:tcPr>
            <w:tcW w:w="1176" w:type="dxa"/>
            <w:tcBorders>
              <w:top w:val="nil"/>
              <w:left w:val="single" w:sz="4" w:space="0" w:color="auto"/>
              <w:bottom w:val="nil"/>
              <w:right w:val="nil"/>
            </w:tcBorders>
            <w:shd w:val="clear" w:color="auto" w:fill="D9E1F2"/>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D9E1F2"/>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shd w:val="clear" w:color="auto" w:fill="D9E1F2"/>
            <w:noWrap/>
            <w:vAlign w:val="center"/>
          </w:tcPr>
          <w:p w:rsidR="000D732C" w:rsidRDefault="000D732C">
            <w:pPr>
              <w:rPr>
                <w:rFonts w:ascii="Calibri" w:hAnsi="Calibri" w:cs="Calibri"/>
                <w:color w:val="000000"/>
              </w:rPr>
            </w:pPr>
          </w:p>
        </w:tc>
        <w:tc>
          <w:tcPr>
            <w:tcW w:w="1769" w:type="dxa"/>
            <w:tcBorders>
              <w:top w:val="nil"/>
              <w:left w:val="nil"/>
              <w:bottom w:val="nil"/>
              <w:right w:val="single" w:sz="4" w:space="0" w:color="auto"/>
            </w:tcBorders>
            <w:shd w:val="clear" w:color="auto" w:fill="D9E1F2"/>
            <w:noWrap/>
            <w:vAlign w:val="center"/>
          </w:tcPr>
          <w:p w:rsidR="000D732C" w:rsidRDefault="000D732C">
            <w:pPr>
              <w:rPr>
                <w:rFonts w:ascii="Calibri" w:hAnsi="Calibri" w:cs="Calibri"/>
                <w:color w:val="000000"/>
              </w:rPr>
            </w:pPr>
          </w:p>
        </w:tc>
        <w:tc>
          <w:tcPr>
            <w:tcW w:w="1655" w:type="dxa"/>
            <w:shd w:val="clear" w:color="auto" w:fill="D9E1F2"/>
            <w:noWrap/>
            <w:vAlign w:val="center"/>
          </w:tcPr>
          <w:p w:rsidR="000D732C" w:rsidRDefault="000D732C">
            <w:pPr>
              <w:jc w:val="right"/>
              <w:rPr>
                <w:rFonts w:ascii="Calibri" w:hAnsi="Calibri" w:cs="Calibri"/>
                <w:color w:val="000000"/>
              </w:rPr>
            </w:pPr>
          </w:p>
        </w:tc>
        <w:tc>
          <w:tcPr>
            <w:tcW w:w="1191" w:type="dxa"/>
            <w:tcBorders>
              <w:top w:val="nil"/>
              <w:left w:val="nil"/>
              <w:bottom w:val="nil"/>
              <w:right w:val="single" w:sz="4" w:space="0" w:color="auto"/>
            </w:tcBorders>
            <w:shd w:val="clear" w:color="auto" w:fill="D9E1F2"/>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single" w:sz="4" w:space="0" w:color="auto"/>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Заемные средства</w:t>
            </w:r>
          </w:p>
        </w:tc>
        <w:tc>
          <w:tcPr>
            <w:tcW w:w="1176" w:type="dxa"/>
            <w:tcBorders>
              <w:top w:val="single" w:sz="4" w:space="0" w:color="auto"/>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1510</w:t>
            </w:r>
          </w:p>
        </w:tc>
        <w:tc>
          <w:tcPr>
            <w:tcW w:w="1238" w:type="dxa"/>
            <w:tcBorders>
              <w:top w:val="single" w:sz="4" w:space="0" w:color="auto"/>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single" w:sz="4" w:space="0" w:color="auto"/>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single" w:sz="4" w:space="0" w:color="auto"/>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single" w:sz="4" w:space="0" w:color="auto"/>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single" w:sz="4" w:space="0" w:color="auto"/>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tcBorders>
              <w:top w:val="single" w:sz="4" w:space="0" w:color="auto"/>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Кредиторская задолженность</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1520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Доходы будущих периодов</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1530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Оценочные обязательства</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1540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color w:val="000000"/>
              </w:rPr>
            </w:pPr>
            <w:r>
              <w:rPr>
                <w:rFonts w:ascii="Calibri" w:hAnsi="Calibri" w:cs="Calibri"/>
                <w:color w:val="000000"/>
                <w:sz w:val="22"/>
                <w:szCs w:val="22"/>
              </w:rPr>
              <w:t>Прочие обязательства</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1550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r>
      <w:tr w:rsidR="000D732C" w:rsidTr="000D732C">
        <w:trPr>
          <w:trHeight w:val="300"/>
        </w:trPr>
        <w:tc>
          <w:tcPr>
            <w:tcW w:w="2410" w:type="dxa"/>
            <w:tcBorders>
              <w:top w:val="nil"/>
              <w:left w:val="single" w:sz="4" w:space="0" w:color="auto"/>
              <w:bottom w:val="single" w:sz="4" w:space="0" w:color="auto"/>
              <w:right w:val="nil"/>
            </w:tcBorders>
            <w:vAlign w:val="bottom"/>
            <w:hideMark/>
          </w:tcPr>
          <w:p w:rsidR="000D732C" w:rsidRDefault="000D732C">
            <w:pPr>
              <w:rPr>
                <w:rFonts w:ascii="Calibri" w:hAnsi="Calibri" w:cs="Calibri"/>
                <w:b/>
                <w:bCs/>
                <w:color w:val="000000"/>
              </w:rPr>
            </w:pPr>
            <w:r>
              <w:rPr>
                <w:rFonts w:ascii="Calibri" w:hAnsi="Calibri" w:cs="Calibri"/>
                <w:b/>
                <w:bCs/>
                <w:color w:val="000000"/>
                <w:sz w:val="22"/>
                <w:szCs w:val="22"/>
              </w:rPr>
              <w:t>Итого по разделу V</w:t>
            </w:r>
          </w:p>
        </w:tc>
        <w:tc>
          <w:tcPr>
            <w:tcW w:w="1176" w:type="dxa"/>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Calibri" w:hAnsi="Calibri" w:cs="Calibri"/>
                <w:b/>
                <w:bCs/>
                <w:color w:val="000000"/>
              </w:rPr>
            </w:pPr>
            <w:r>
              <w:rPr>
                <w:rFonts w:ascii="Calibri" w:hAnsi="Calibri" w:cs="Calibri"/>
                <w:b/>
                <w:bCs/>
                <w:color w:val="000000"/>
                <w:sz w:val="22"/>
                <w:szCs w:val="22"/>
              </w:rPr>
              <w:t>1500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769" w:type="dxa"/>
            <w:gridSpan w:val="2"/>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769"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191"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b/>
                <w:bCs/>
                <w:color w:val="000000"/>
              </w:rPr>
            </w:pPr>
          </w:p>
        </w:tc>
      </w:tr>
      <w:tr w:rsidR="000D732C" w:rsidTr="000D732C">
        <w:trPr>
          <w:trHeight w:val="300"/>
        </w:trPr>
        <w:tc>
          <w:tcPr>
            <w:tcW w:w="2410" w:type="dxa"/>
            <w:tcBorders>
              <w:top w:val="nil"/>
              <w:left w:val="single" w:sz="4" w:space="0" w:color="auto"/>
              <w:bottom w:val="single" w:sz="4" w:space="0" w:color="auto"/>
              <w:right w:val="nil"/>
            </w:tcBorders>
            <w:shd w:val="clear" w:color="auto" w:fill="FCE4D6"/>
            <w:vAlign w:val="bottom"/>
            <w:hideMark/>
          </w:tcPr>
          <w:p w:rsidR="000D732C" w:rsidRDefault="000D732C">
            <w:pPr>
              <w:rPr>
                <w:rFonts w:ascii="Calibri" w:hAnsi="Calibri" w:cs="Calibri"/>
                <w:b/>
                <w:bCs/>
                <w:color w:val="000000"/>
              </w:rPr>
            </w:pPr>
            <w:r>
              <w:rPr>
                <w:rFonts w:ascii="Calibri" w:hAnsi="Calibri" w:cs="Calibri"/>
                <w:b/>
                <w:bCs/>
                <w:color w:val="000000"/>
                <w:sz w:val="22"/>
                <w:szCs w:val="22"/>
              </w:rPr>
              <w:t>БАЛАНС</w:t>
            </w:r>
          </w:p>
        </w:tc>
        <w:tc>
          <w:tcPr>
            <w:tcW w:w="1176" w:type="dxa"/>
            <w:tcBorders>
              <w:top w:val="nil"/>
              <w:left w:val="single" w:sz="4" w:space="0" w:color="auto"/>
              <w:bottom w:val="single" w:sz="4" w:space="0" w:color="auto"/>
              <w:right w:val="single" w:sz="4" w:space="0" w:color="auto"/>
            </w:tcBorders>
            <w:shd w:val="clear" w:color="auto" w:fill="FCE4D6"/>
            <w:noWrap/>
            <w:vAlign w:val="center"/>
            <w:hideMark/>
          </w:tcPr>
          <w:p w:rsidR="000D732C" w:rsidRDefault="000D732C">
            <w:pPr>
              <w:jc w:val="center"/>
              <w:rPr>
                <w:rFonts w:ascii="Calibri" w:hAnsi="Calibri" w:cs="Calibri"/>
                <w:b/>
                <w:bCs/>
                <w:color w:val="000000"/>
              </w:rPr>
            </w:pPr>
            <w:r>
              <w:rPr>
                <w:rFonts w:ascii="Calibri" w:hAnsi="Calibri" w:cs="Calibri"/>
                <w:b/>
                <w:bCs/>
                <w:color w:val="000000"/>
                <w:sz w:val="22"/>
                <w:szCs w:val="22"/>
              </w:rPr>
              <w:t>1700</w:t>
            </w:r>
          </w:p>
        </w:tc>
        <w:tc>
          <w:tcPr>
            <w:tcW w:w="1238" w:type="dxa"/>
            <w:tcBorders>
              <w:top w:val="nil"/>
              <w:left w:val="nil"/>
              <w:bottom w:val="single" w:sz="4" w:space="0" w:color="auto"/>
              <w:right w:val="single" w:sz="4" w:space="0" w:color="auto"/>
            </w:tcBorders>
            <w:shd w:val="clear" w:color="auto" w:fill="FCE4D6"/>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FCE4D6"/>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FCE4D6"/>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FCE4D6"/>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238" w:type="dxa"/>
            <w:tcBorders>
              <w:top w:val="nil"/>
              <w:left w:val="nil"/>
              <w:bottom w:val="single" w:sz="4" w:space="0" w:color="auto"/>
              <w:right w:val="single" w:sz="4" w:space="0" w:color="auto"/>
            </w:tcBorders>
            <w:shd w:val="clear" w:color="auto" w:fill="FCE4D6"/>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 </w:t>
            </w:r>
          </w:p>
        </w:tc>
        <w:tc>
          <w:tcPr>
            <w:tcW w:w="1769" w:type="dxa"/>
            <w:gridSpan w:val="2"/>
            <w:tcBorders>
              <w:top w:val="nil"/>
              <w:left w:val="nil"/>
              <w:bottom w:val="single" w:sz="4" w:space="0" w:color="auto"/>
              <w:right w:val="single" w:sz="4" w:space="0" w:color="auto"/>
            </w:tcBorders>
            <w:shd w:val="clear" w:color="auto" w:fill="FCE4D6"/>
            <w:noWrap/>
            <w:vAlign w:val="center"/>
          </w:tcPr>
          <w:p w:rsidR="000D732C" w:rsidRDefault="000D732C">
            <w:pPr>
              <w:jc w:val="center"/>
              <w:rPr>
                <w:rFonts w:ascii="Calibri" w:hAnsi="Calibri" w:cs="Calibri"/>
                <w:b/>
                <w:bCs/>
                <w:color w:val="000000"/>
              </w:rPr>
            </w:pPr>
          </w:p>
        </w:tc>
        <w:tc>
          <w:tcPr>
            <w:tcW w:w="1769" w:type="dxa"/>
            <w:tcBorders>
              <w:top w:val="nil"/>
              <w:left w:val="nil"/>
              <w:bottom w:val="single" w:sz="4" w:space="0" w:color="auto"/>
              <w:right w:val="single" w:sz="4" w:space="0" w:color="auto"/>
            </w:tcBorders>
            <w:shd w:val="clear" w:color="auto" w:fill="FCE4D6"/>
            <w:noWrap/>
            <w:vAlign w:val="center"/>
          </w:tcPr>
          <w:p w:rsidR="000D732C" w:rsidRDefault="000D732C">
            <w:pPr>
              <w:jc w:val="center"/>
              <w:rPr>
                <w:rFonts w:ascii="Calibri" w:hAnsi="Calibri" w:cs="Calibri"/>
                <w:b/>
                <w:bCs/>
                <w:color w:val="000000"/>
              </w:rPr>
            </w:pPr>
          </w:p>
        </w:tc>
        <w:tc>
          <w:tcPr>
            <w:tcW w:w="1655" w:type="dxa"/>
            <w:tcBorders>
              <w:top w:val="nil"/>
              <w:left w:val="nil"/>
              <w:bottom w:val="single" w:sz="4" w:space="0" w:color="auto"/>
              <w:right w:val="single" w:sz="4" w:space="0" w:color="auto"/>
            </w:tcBorders>
            <w:shd w:val="clear" w:color="auto" w:fill="FCE4D6"/>
            <w:noWrap/>
            <w:vAlign w:val="center"/>
          </w:tcPr>
          <w:p w:rsidR="000D732C" w:rsidRDefault="000D732C">
            <w:pPr>
              <w:rPr>
                <w:rFonts w:ascii="Calibri" w:hAnsi="Calibri" w:cs="Calibri"/>
                <w:b/>
                <w:bCs/>
                <w:color w:val="000000"/>
              </w:rPr>
            </w:pPr>
          </w:p>
        </w:tc>
        <w:tc>
          <w:tcPr>
            <w:tcW w:w="1191" w:type="dxa"/>
            <w:tcBorders>
              <w:top w:val="nil"/>
              <w:left w:val="nil"/>
              <w:bottom w:val="single" w:sz="4" w:space="0" w:color="auto"/>
              <w:right w:val="single" w:sz="4" w:space="0" w:color="auto"/>
            </w:tcBorders>
            <w:shd w:val="clear" w:color="auto" w:fill="FCE4D6"/>
            <w:noWrap/>
            <w:vAlign w:val="center"/>
          </w:tcPr>
          <w:p w:rsidR="000D732C" w:rsidRDefault="000D732C">
            <w:pPr>
              <w:jc w:val="right"/>
              <w:rPr>
                <w:rFonts w:ascii="Calibri" w:hAnsi="Calibri" w:cs="Calibri"/>
                <w:b/>
                <w:bCs/>
                <w:color w:val="000000"/>
              </w:rPr>
            </w:pPr>
          </w:p>
        </w:tc>
      </w:tr>
      <w:tr w:rsidR="000D732C" w:rsidTr="000D732C">
        <w:trPr>
          <w:trHeight w:val="300"/>
        </w:trPr>
        <w:tc>
          <w:tcPr>
            <w:tcW w:w="2410" w:type="dxa"/>
            <w:tcBorders>
              <w:top w:val="nil"/>
              <w:left w:val="single" w:sz="4" w:space="0" w:color="auto"/>
              <w:bottom w:val="single" w:sz="4" w:space="0" w:color="auto"/>
              <w:right w:val="single" w:sz="4" w:space="0" w:color="auto"/>
            </w:tcBorders>
            <w:vAlign w:val="bottom"/>
            <w:hideMark/>
          </w:tcPr>
          <w:p w:rsidR="000D732C" w:rsidRDefault="000D732C">
            <w:pPr>
              <w:rPr>
                <w:rFonts w:ascii="Calibri" w:hAnsi="Calibri" w:cs="Calibri"/>
                <w:b/>
                <w:bCs/>
                <w:color w:val="000000"/>
              </w:rPr>
            </w:pPr>
            <w:r>
              <w:rPr>
                <w:rFonts w:ascii="Calibri" w:hAnsi="Calibri" w:cs="Calibri"/>
                <w:b/>
                <w:bCs/>
                <w:color w:val="000000"/>
                <w:sz w:val="22"/>
                <w:szCs w:val="22"/>
              </w:rPr>
              <w:t>Проверка разницы</w:t>
            </w:r>
          </w:p>
        </w:tc>
        <w:tc>
          <w:tcPr>
            <w:tcW w:w="1176" w:type="dxa"/>
            <w:tcBorders>
              <w:top w:val="nil"/>
              <w:left w:val="nil"/>
              <w:bottom w:val="single" w:sz="4" w:space="0" w:color="auto"/>
              <w:right w:val="single" w:sz="4" w:space="0" w:color="auto"/>
            </w:tcBorders>
            <w:noWrap/>
            <w:vAlign w:val="center"/>
            <w:hideMark/>
          </w:tcPr>
          <w:p w:rsidR="000D732C" w:rsidRDefault="000D732C">
            <w:pPr>
              <w:jc w:val="center"/>
              <w:rPr>
                <w:rFonts w:ascii="Calibri" w:hAnsi="Calibri" w:cs="Calibri"/>
                <w:b/>
                <w:bCs/>
                <w:color w:val="000000"/>
              </w:rPr>
            </w:pPr>
            <w:r>
              <w:rPr>
                <w:rFonts w:ascii="Calibri" w:hAnsi="Calibri" w:cs="Calibri"/>
                <w:b/>
                <w:bCs/>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Корректно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Корректно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Корректно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Корректно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b/>
                <w:bCs/>
                <w:color w:val="000000"/>
              </w:rPr>
            </w:pPr>
            <w:r>
              <w:rPr>
                <w:rFonts w:ascii="Calibri" w:hAnsi="Calibri" w:cs="Calibri"/>
                <w:b/>
                <w:bCs/>
                <w:color w:val="000000"/>
                <w:sz w:val="22"/>
                <w:szCs w:val="22"/>
              </w:rPr>
              <w:t xml:space="preserve"> Корректно </w:t>
            </w:r>
          </w:p>
        </w:tc>
        <w:tc>
          <w:tcPr>
            <w:tcW w:w="1769" w:type="dxa"/>
            <w:gridSpan w:val="2"/>
            <w:tcBorders>
              <w:top w:val="nil"/>
              <w:left w:val="nil"/>
              <w:bottom w:val="single" w:sz="4" w:space="0" w:color="auto"/>
              <w:right w:val="nil"/>
            </w:tcBorders>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tcBorders>
              <w:top w:val="nil"/>
              <w:left w:val="nil"/>
              <w:bottom w:val="single" w:sz="4" w:space="0" w:color="auto"/>
              <w:right w:val="nil"/>
            </w:tcBorders>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655" w:type="dxa"/>
            <w:tcBorders>
              <w:top w:val="nil"/>
              <w:left w:val="nil"/>
              <w:bottom w:val="single" w:sz="4" w:space="0" w:color="auto"/>
              <w:right w:val="nil"/>
            </w:tcBorders>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176"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6190" w:type="dxa"/>
            <w:gridSpan w:val="5"/>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0D732C" w:rsidRDefault="000D732C">
            <w:pPr>
              <w:jc w:val="center"/>
              <w:rPr>
                <w:rFonts w:ascii="Calibri" w:hAnsi="Calibri" w:cs="Calibri"/>
                <w:color w:val="000000"/>
              </w:rPr>
            </w:pPr>
            <w:r>
              <w:rPr>
                <w:rFonts w:ascii="Calibri" w:hAnsi="Calibri" w:cs="Calibri"/>
                <w:color w:val="000000"/>
                <w:sz w:val="22"/>
                <w:szCs w:val="22"/>
              </w:rPr>
              <w:t>Если Ошибка -1 это ошибка округления (допустимо)</w:t>
            </w:r>
          </w:p>
        </w:tc>
        <w:tc>
          <w:tcPr>
            <w:tcW w:w="1739"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799" w:type="dxa"/>
            <w:gridSpan w:val="2"/>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655"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75"/>
        </w:trPr>
        <w:tc>
          <w:tcPr>
            <w:tcW w:w="2410" w:type="dxa"/>
            <w:shd w:val="clear" w:color="auto" w:fill="FFFFFF"/>
            <w:noWrap/>
            <w:vAlign w:val="bottom"/>
            <w:hideMark/>
          </w:tcPr>
          <w:p w:rsidR="000D732C" w:rsidRDefault="000D732C">
            <w:pPr>
              <w:rPr>
                <w:rFonts w:ascii="Calibri" w:hAnsi="Calibri" w:cs="Calibri"/>
                <w:color w:val="000000"/>
                <w:sz w:val="28"/>
                <w:szCs w:val="28"/>
              </w:rPr>
            </w:pPr>
            <w:r>
              <w:rPr>
                <w:rFonts w:ascii="Calibri" w:hAnsi="Calibri" w:cs="Calibri"/>
                <w:color w:val="000000"/>
                <w:sz w:val="28"/>
                <w:szCs w:val="28"/>
              </w:rPr>
              <w:t> </w:t>
            </w:r>
          </w:p>
        </w:tc>
        <w:tc>
          <w:tcPr>
            <w:tcW w:w="1176" w:type="dxa"/>
            <w:shd w:val="clear" w:color="auto" w:fill="FFFFFF"/>
            <w:noWrap/>
            <w:vAlign w:val="bottom"/>
            <w:hideMark/>
          </w:tcPr>
          <w:p w:rsidR="000D732C" w:rsidRDefault="000D732C">
            <w:pPr>
              <w:rPr>
                <w:rFonts w:ascii="Calibri" w:hAnsi="Calibri" w:cs="Calibri"/>
                <w:color w:val="000000"/>
                <w:sz w:val="28"/>
                <w:szCs w:val="28"/>
              </w:rPr>
            </w:pPr>
            <w:r>
              <w:rPr>
                <w:rFonts w:ascii="Calibri" w:hAnsi="Calibri" w:cs="Calibri"/>
                <w:color w:val="000000"/>
                <w:sz w:val="28"/>
                <w:szCs w:val="28"/>
              </w:rPr>
              <w:t> </w:t>
            </w:r>
          </w:p>
        </w:tc>
        <w:tc>
          <w:tcPr>
            <w:tcW w:w="1238" w:type="dxa"/>
            <w:shd w:val="clear" w:color="auto" w:fill="FFFFFF"/>
            <w:noWrap/>
            <w:vAlign w:val="bottom"/>
            <w:hideMark/>
          </w:tcPr>
          <w:p w:rsidR="000D732C" w:rsidRDefault="000D732C">
            <w:pPr>
              <w:rPr>
                <w:rFonts w:ascii="Calibri" w:hAnsi="Calibri" w:cs="Calibri"/>
                <w:color w:val="000000"/>
                <w:sz w:val="28"/>
                <w:szCs w:val="28"/>
              </w:rPr>
            </w:pPr>
            <w:r>
              <w:rPr>
                <w:rFonts w:ascii="Calibri" w:hAnsi="Calibri" w:cs="Calibri"/>
                <w:color w:val="000000"/>
                <w:sz w:val="28"/>
                <w:szCs w:val="28"/>
              </w:rPr>
              <w:t> </w:t>
            </w:r>
          </w:p>
        </w:tc>
        <w:tc>
          <w:tcPr>
            <w:tcW w:w="1238" w:type="dxa"/>
            <w:shd w:val="clear" w:color="auto" w:fill="FFFFFF"/>
            <w:noWrap/>
            <w:vAlign w:val="bottom"/>
            <w:hideMark/>
          </w:tcPr>
          <w:p w:rsidR="000D732C" w:rsidRDefault="000D732C">
            <w:pPr>
              <w:rPr>
                <w:rFonts w:ascii="Calibri" w:hAnsi="Calibri" w:cs="Calibri"/>
                <w:color w:val="000000"/>
                <w:sz w:val="28"/>
                <w:szCs w:val="28"/>
              </w:rPr>
            </w:pPr>
            <w:r>
              <w:rPr>
                <w:rFonts w:ascii="Calibri" w:hAnsi="Calibri" w:cs="Calibri"/>
                <w:color w:val="000000"/>
                <w:sz w:val="28"/>
                <w:szCs w:val="28"/>
              </w:rPr>
              <w:t> </w:t>
            </w:r>
          </w:p>
        </w:tc>
        <w:tc>
          <w:tcPr>
            <w:tcW w:w="1238" w:type="dxa"/>
            <w:shd w:val="clear" w:color="auto" w:fill="FFFFFF"/>
            <w:noWrap/>
            <w:vAlign w:val="bottom"/>
            <w:hideMark/>
          </w:tcPr>
          <w:p w:rsidR="000D732C" w:rsidRDefault="000D732C">
            <w:pPr>
              <w:rPr>
                <w:rFonts w:ascii="Calibri" w:hAnsi="Calibri" w:cs="Calibri"/>
                <w:color w:val="000000"/>
                <w:sz w:val="28"/>
                <w:szCs w:val="28"/>
              </w:rPr>
            </w:pPr>
            <w:r>
              <w:rPr>
                <w:rFonts w:ascii="Calibri" w:hAnsi="Calibri" w:cs="Calibri"/>
                <w:color w:val="000000"/>
                <w:sz w:val="28"/>
                <w:szCs w:val="28"/>
              </w:rPr>
              <w:t> </w:t>
            </w:r>
          </w:p>
        </w:tc>
        <w:tc>
          <w:tcPr>
            <w:tcW w:w="1238" w:type="dxa"/>
            <w:shd w:val="clear" w:color="auto" w:fill="FFFFFF"/>
            <w:noWrap/>
            <w:vAlign w:val="bottom"/>
            <w:hideMark/>
          </w:tcPr>
          <w:p w:rsidR="000D732C" w:rsidRDefault="000D732C">
            <w:pPr>
              <w:rPr>
                <w:rFonts w:ascii="Calibri" w:hAnsi="Calibri" w:cs="Calibri"/>
                <w:color w:val="000000"/>
                <w:sz w:val="28"/>
                <w:szCs w:val="28"/>
              </w:rPr>
            </w:pPr>
            <w:r>
              <w:rPr>
                <w:rFonts w:ascii="Calibri" w:hAnsi="Calibri" w:cs="Calibri"/>
                <w:color w:val="000000"/>
                <w:sz w:val="28"/>
                <w:szCs w:val="28"/>
              </w:rPr>
              <w:t> </w:t>
            </w:r>
          </w:p>
        </w:tc>
        <w:tc>
          <w:tcPr>
            <w:tcW w:w="1238" w:type="dxa"/>
            <w:shd w:val="clear" w:color="auto" w:fill="FFFFFF"/>
            <w:noWrap/>
            <w:vAlign w:val="bottom"/>
            <w:hideMark/>
          </w:tcPr>
          <w:p w:rsidR="000D732C" w:rsidRDefault="000D732C">
            <w:pPr>
              <w:rPr>
                <w:rFonts w:ascii="Calibri" w:hAnsi="Calibri" w:cs="Calibri"/>
                <w:color w:val="000000"/>
                <w:sz w:val="28"/>
                <w:szCs w:val="28"/>
              </w:rPr>
            </w:pPr>
            <w:r>
              <w:rPr>
                <w:rFonts w:ascii="Calibri" w:hAnsi="Calibri" w:cs="Calibri"/>
                <w:color w:val="000000"/>
                <w:sz w:val="28"/>
                <w:szCs w:val="28"/>
              </w:rPr>
              <w:t> </w:t>
            </w:r>
          </w:p>
        </w:tc>
        <w:tc>
          <w:tcPr>
            <w:tcW w:w="1769" w:type="dxa"/>
            <w:gridSpan w:val="2"/>
            <w:shd w:val="clear" w:color="auto" w:fill="FFFFFF"/>
            <w:noWrap/>
            <w:vAlign w:val="bottom"/>
            <w:hideMark/>
          </w:tcPr>
          <w:p w:rsidR="000D732C" w:rsidRDefault="000D732C">
            <w:pPr>
              <w:rPr>
                <w:rFonts w:ascii="Calibri" w:hAnsi="Calibri" w:cs="Calibri"/>
                <w:color w:val="000000"/>
                <w:sz w:val="28"/>
                <w:szCs w:val="28"/>
              </w:rPr>
            </w:pPr>
            <w:r>
              <w:rPr>
                <w:rFonts w:ascii="Calibri" w:hAnsi="Calibri" w:cs="Calibri"/>
                <w:color w:val="000000"/>
                <w:sz w:val="28"/>
                <w:szCs w:val="28"/>
              </w:rPr>
              <w:t> </w:t>
            </w:r>
          </w:p>
        </w:tc>
        <w:tc>
          <w:tcPr>
            <w:tcW w:w="1769" w:type="dxa"/>
            <w:shd w:val="clear" w:color="auto" w:fill="FFFFFF"/>
            <w:noWrap/>
            <w:vAlign w:val="bottom"/>
            <w:hideMark/>
          </w:tcPr>
          <w:p w:rsidR="000D732C" w:rsidRDefault="000D732C">
            <w:pPr>
              <w:rPr>
                <w:rFonts w:ascii="Calibri" w:hAnsi="Calibri" w:cs="Calibri"/>
                <w:color w:val="000000"/>
                <w:sz w:val="28"/>
                <w:szCs w:val="28"/>
              </w:rPr>
            </w:pPr>
            <w:r>
              <w:rPr>
                <w:rFonts w:ascii="Calibri" w:hAnsi="Calibri" w:cs="Calibri"/>
                <w:color w:val="000000"/>
                <w:sz w:val="28"/>
                <w:szCs w:val="28"/>
              </w:rPr>
              <w:t> </w:t>
            </w:r>
          </w:p>
        </w:tc>
        <w:tc>
          <w:tcPr>
            <w:tcW w:w="1655" w:type="dxa"/>
            <w:shd w:val="clear" w:color="auto" w:fill="FFFFFF"/>
            <w:noWrap/>
            <w:vAlign w:val="bottom"/>
            <w:hideMark/>
          </w:tcPr>
          <w:p w:rsidR="000D732C" w:rsidRDefault="000D732C">
            <w:pPr>
              <w:rPr>
                <w:rFonts w:ascii="Calibri" w:hAnsi="Calibri" w:cs="Calibri"/>
                <w:color w:val="000000"/>
                <w:sz w:val="28"/>
                <w:szCs w:val="28"/>
              </w:rPr>
            </w:pPr>
            <w:r>
              <w:rPr>
                <w:rFonts w:ascii="Calibri" w:hAnsi="Calibri" w:cs="Calibri"/>
                <w:color w:val="000000"/>
                <w:sz w:val="28"/>
                <w:szCs w:val="28"/>
              </w:rPr>
              <w:t> </w:t>
            </w: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lastRenderedPageBreak/>
              <w:t> </w:t>
            </w:r>
          </w:p>
        </w:tc>
        <w:tc>
          <w:tcPr>
            <w:tcW w:w="1176"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jc w:val="right"/>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jc w:val="right"/>
              <w:rPr>
                <w:rFonts w:ascii="Calibri" w:hAnsi="Calibri" w:cs="Calibri"/>
                <w:color w:val="000000"/>
                <w:sz w:val="20"/>
                <w:szCs w:val="20"/>
              </w:rPr>
            </w:pPr>
            <w:r>
              <w:rPr>
                <w:rFonts w:ascii="Calibri" w:hAnsi="Calibri" w:cs="Calibri"/>
                <w:color w:val="000000"/>
                <w:sz w:val="20"/>
                <w:szCs w:val="20"/>
              </w:rPr>
              <w:t>(тыс. руб.)</w:t>
            </w:r>
          </w:p>
        </w:tc>
        <w:tc>
          <w:tcPr>
            <w:tcW w:w="3538" w:type="dxa"/>
            <w:gridSpan w:val="3"/>
            <w:tcBorders>
              <w:top w:val="single" w:sz="4" w:space="0" w:color="auto"/>
              <w:left w:val="single" w:sz="4" w:space="0" w:color="auto"/>
              <w:bottom w:val="single" w:sz="4" w:space="0" w:color="auto"/>
              <w:right w:val="single" w:sz="4" w:space="0" w:color="auto"/>
            </w:tcBorders>
            <w:noWrap/>
            <w:vAlign w:val="bottom"/>
            <w:hideMark/>
          </w:tcPr>
          <w:p w:rsidR="000D732C" w:rsidRDefault="000D732C">
            <w:pPr>
              <w:jc w:val="center"/>
              <w:rPr>
                <w:rFonts w:ascii="Arial" w:hAnsi="Arial" w:cs="Arial"/>
                <w:color w:val="000000"/>
                <w:sz w:val="20"/>
                <w:szCs w:val="20"/>
              </w:rPr>
            </w:pPr>
            <w:r>
              <w:rPr>
                <w:rFonts w:ascii="Arial" w:hAnsi="Arial" w:cs="Arial"/>
                <w:color w:val="000000"/>
                <w:sz w:val="20"/>
                <w:szCs w:val="20"/>
              </w:rPr>
              <w:t>Изменение показателя</w:t>
            </w:r>
          </w:p>
        </w:tc>
        <w:tc>
          <w:tcPr>
            <w:tcW w:w="1655"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Среднегодовая величина</w:t>
            </w: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600"/>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Наименование показателя</w:t>
            </w:r>
          </w:p>
        </w:tc>
        <w:tc>
          <w:tcPr>
            <w:tcW w:w="1176" w:type="dxa"/>
            <w:tcBorders>
              <w:top w:val="single" w:sz="4" w:space="0" w:color="auto"/>
              <w:left w:val="nil"/>
              <w:bottom w:val="single" w:sz="4" w:space="0" w:color="auto"/>
              <w:right w:val="single" w:sz="4" w:space="0" w:color="auto"/>
            </w:tcBorders>
            <w:shd w:val="clear" w:color="auto" w:fill="FFFFFF"/>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Код</w:t>
            </w:r>
          </w:p>
        </w:tc>
        <w:tc>
          <w:tcPr>
            <w:tcW w:w="1238" w:type="dxa"/>
            <w:tcBorders>
              <w:top w:val="single" w:sz="4" w:space="0" w:color="auto"/>
              <w:left w:val="nil"/>
              <w:bottom w:val="single" w:sz="4" w:space="0" w:color="auto"/>
              <w:right w:val="single" w:sz="4" w:space="0" w:color="auto"/>
            </w:tcBorders>
            <w:shd w:val="clear" w:color="auto" w:fill="FFFFFF"/>
            <w:vAlign w:val="center"/>
          </w:tcPr>
          <w:p w:rsidR="000D732C" w:rsidRDefault="000D732C">
            <w:pPr>
              <w:jc w:val="center"/>
              <w:rPr>
                <w:rFonts w:ascii="Calibri" w:hAnsi="Calibri" w:cs="Calibri"/>
                <w:color w:val="000000"/>
              </w:rPr>
            </w:pPr>
          </w:p>
        </w:tc>
        <w:tc>
          <w:tcPr>
            <w:tcW w:w="1238" w:type="dxa"/>
            <w:tcBorders>
              <w:top w:val="single" w:sz="4" w:space="0" w:color="auto"/>
              <w:left w:val="nil"/>
              <w:bottom w:val="single" w:sz="4" w:space="0" w:color="auto"/>
              <w:right w:val="single" w:sz="4" w:space="0" w:color="auto"/>
            </w:tcBorders>
            <w:shd w:val="clear" w:color="auto" w:fill="FFFFFF"/>
            <w:vAlign w:val="center"/>
          </w:tcPr>
          <w:p w:rsidR="000D732C" w:rsidRDefault="000D732C">
            <w:pPr>
              <w:jc w:val="center"/>
              <w:rPr>
                <w:rFonts w:ascii="Calibri" w:hAnsi="Calibri" w:cs="Calibri"/>
                <w:color w:val="000000"/>
              </w:rPr>
            </w:pPr>
          </w:p>
        </w:tc>
        <w:tc>
          <w:tcPr>
            <w:tcW w:w="1238" w:type="dxa"/>
            <w:tcBorders>
              <w:top w:val="single" w:sz="4" w:space="0" w:color="auto"/>
              <w:left w:val="nil"/>
              <w:bottom w:val="single" w:sz="4" w:space="0" w:color="auto"/>
              <w:right w:val="single" w:sz="4" w:space="0" w:color="auto"/>
            </w:tcBorders>
            <w:shd w:val="clear" w:color="auto" w:fill="FFFFFF"/>
            <w:vAlign w:val="center"/>
          </w:tcPr>
          <w:p w:rsidR="000D732C" w:rsidRDefault="000D732C">
            <w:pPr>
              <w:jc w:val="center"/>
              <w:rPr>
                <w:rFonts w:ascii="Calibri" w:hAnsi="Calibri" w:cs="Calibri"/>
                <w:color w:val="000000"/>
              </w:rPr>
            </w:pPr>
          </w:p>
        </w:tc>
        <w:tc>
          <w:tcPr>
            <w:tcW w:w="1238" w:type="dxa"/>
            <w:tcBorders>
              <w:top w:val="single" w:sz="4" w:space="0" w:color="auto"/>
              <w:left w:val="nil"/>
              <w:bottom w:val="single" w:sz="4" w:space="0" w:color="auto"/>
              <w:right w:val="single" w:sz="4" w:space="0" w:color="auto"/>
            </w:tcBorders>
            <w:shd w:val="clear" w:color="auto" w:fill="FFFFFF"/>
            <w:vAlign w:val="center"/>
          </w:tcPr>
          <w:p w:rsidR="000D732C" w:rsidRDefault="000D732C">
            <w:pPr>
              <w:jc w:val="center"/>
              <w:rPr>
                <w:rFonts w:ascii="Calibri" w:hAnsi="Calibri" w:cs="Calibri"/>
                <w:color w:val="000000"/>
              </w:rPr>
            </w:pPr>
          </w:p>
        </w:tc>
        <w:tc>
          <w:tcPr>
            <w:tcW w:w="1238" w:type="dxa"/>
            <w:tcBorders>
              <w:top w:val="single" w:sz="4" w:space="0" w:color="auto"/>
              <w:left w:val="nil"/>
              <w:bottom w:val="single" w:sz="4" w:space="0" w:color="auto"/>
              <w:right w:val="single" w:sz="4" w:space="0" w:color="auto"/>
            </w:tcBorders>
            <w:shd w:val="clear" w:color="auto" w:fill="FFFFFF"/>
            <w:vAlign w:val="center"/>
          </w:tcPr>
          <w:p w:rsidR="000D732C" w:rsidRDefault="000D732C">
            <w:pPr>
              <w:jc w:val="center"/>
              <w:rPr>
                <w:rFonts w:ascii="Calibri" w:hAnsi="Calibri" w:cs="Calibri"/>
                <w:color w:val="000000"/>
              </w:rPr>
            </w:pPr>
          </w:p>
        </w:tc>
        <w:tc>
          <w:tcPr>
            <w:tcW w:w="1769" w:type="dxa"/>
            <w:gridSpan w:val="2"/>
            <w:tcBorders>
              <w:top w:val="nil"/>
              <w:left w:val="nil"/>
              <w:bottom w:val="single" w:sz="4" w:space="0" w:color="auto"/>
              <w:right w:val="single" w:sz="4" w:space="0" w:color="auto"/>
            </w:tcBorders>
            <w:shd w:val="clear" w:color="auto" w:fill="FFFFFF"/>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тыс. руб.</w:t>
            </w:r>
          </w:p>
        </w:tc>
        <w:tc>
          <w:tcPr>
            <w:tcW w:w="1769" w:type="dxa"/>
            <w:tcBorders>
              <w:top w:val="nil"/>
              <w:left w:val="nil"/>
              <w:bottom w:val="single" w:sz="4" w:space="0" w:color="auto"/>
              <w:right w:val="single" w:sz="4" w:space="0" w:color="auto"/>
            </w:tcBorders>
            <w:shd w:val="clear" w:color="auto" w:fill="FFFFFF"/>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w:t>
            </w:r>
          </w:p>
        </w:tc>
        <w:tc>
          <w:tcPr>
            <w:tcW w:w="1655" w:type="dxa"/>
            <w:tcBorders>
              <w:top w:val="single" w:sz="4" w:space="0" w:color="auto"/>
              <w:left w:val="single" w:sz="4" w:space="0" w:color="auto"/>
              <w:bottom w:val="single" w:sz="4" w:space="0" w:color="000000"/>
              <w:right w:val="single" w:sz="4" w:space="0" w:color="auto"/>
            </w:tcBorders>
            <w:vAlign w:val="center"/>
          </w:tcPr>
          <w:p w:rsidR="000D732C" w:rsidRDefault="000D732C">
            <w:pPr>
              <w:rPr>
                <w:rFonts w:ascii="Calibri" w:hAnsi="Calibri" w:cs="Calibri"/>
                <w:color w:val="000000"/>
              </w:rPr>
            </w:pP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75"/>
        </w:trPr>
        <w:tc>
          <w:tcPr>
            <w:tcW w:w="2410" w:type="dxa"/>
            <w:tcBorders>
              <w:top w:val="nil"/>
              <w:left w:val="single" w:sz="4" w:space="0" w:color="auto"/>
              <w:bottom w:val="single" w:sz="4" w:space="0" w:color="auto"/>
              <w:right w:val="single" w:sz="4" w:space="0" w:color="auto"/>
            </w:tcBorders>
            <w:vAlign w:val="bottom"/>
            <w:hideMark/>
          </w:tcPr>
          <w:p w:rsidR="000D732C" w:rsidRDefault="000D732C">
            <w:pPr>
              <w:rPr>
                <w:rFonts w:ascii="Calibri" w:hAnsi="Calibri" w:cs="Calibri"/>
                <w:color w:val="000000"/>
              </w:rPr>
            </w:pPr>
            <w:r>
              <w:rPr>
                <w:rFonts w:ascii="Calibri" w:hAnsi="Calibri" w:cs="Calibri"/>
                <w:color w:val="000000"/>
                <w:sz w:val="22"/>
                <w:szCs w:val="22"/>
              </w:rPr>
              <w:t>Выручка</w:t>
            </w:r>
          </w:p>
        </w:tc>
        <w:tc>
          <w:tcPr>
            <w:tcW w:w="1176" w:type="dxa"/>
            <w:tcBorders>
              <w:top w:val="nil"/>
              <w:left w:val="nil"/>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2110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769"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tcBorders>
              <w:top w:val="nil"/>
              <w:left w:val="single" w:sz="4" w:space="0" w:color="auto"/>
              <w:bottom w:val="single" w:sz="4" w:space="0" w:color="auto"/>
              <w:right w:val="single" w:sz="4" w:space="0" w:color="auto"/>
            </w:tcBorders>
            <w:vAlign w:val="bottom"/>
            <w:hideMark/>
          </w:tcPr>
          <w:p w:rsidR="000D732C" w:rsidRDefault="000D732C">
            <w:pPr>
              <w:rPr>
                <w:rFonts w:ascii="Calibri" w:hAnsi="Calibri" w:cs="Calibri"/>
                <w:color w:val="000000"/>
              </w:rPr>
            </w:pPr>
            <w:r>
              <w:rPr>
                <w:rFonts w:ascii="Calibri" w:hAnsi="Calibri" w:cs="Calibri"/>
                <w:color w:val="000000"/>
                <w:sz w:val="22"/>
                <w:szCs w:val="22"/>
              </w:rPr>
              <w:t>Себестоимость продаж</w:t>
            </w:r>
          </w:p>
        </w:tc>
        <w:tc>
          <w:tcPr>
            <w:tcW w:w="1176" w:type="dxa"/>
            <w:tcBorders>
              <w:top w:val="nil"/>
              <w:left w:val="nil"/>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2120</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tcBorders>
              <w:top w:val="nil"/>
              <w:left w:val="nil"/>
              <w:bottom w:val="single" w:sz="4" w:space="0" w:color="auto"/>
              <w:right w:val="single" w:sz="4" w:space="0" w:color="auto"/>
            </w:tcBorders>
            <w:noWrap/>
            <w:vAlign w:val="center"/>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769"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tcBorders>
              <w:top w:val="nil"/>
              <w:left w:val="single" w:sz="4" w:space="0" w:color="auto"/>
              <w:bottom w:val="single" w:sz="4" w:space="0" w:color="auto"/>
              <w:right w:val="single" w:sz="4" w:space="0" w:color="auto"/>
            </w:tcBorders>
            <w:vAlign w:val="bottom"/>
            <w:hideMark/>
          </w:tcPr>
          <w:p w:rsidR="000D732C" w:rsidRDefault="000D732C">
            <w:pPr>
              <w:rPr>
                <w:rFonts w:ascii="Calibri" w:hAnsi="Calibri" w:cs="Calibri"/>
                <w:b/>
                <w:bCs/>
                <w:color w:val="000000"/>
              </w:rPr>
            </w:pPr>
            <w:r>
              <w:rPr>
                <w:rFonts w:ascii="Calibri" w:hAnsi="Calibri" w:cs="Calibri"/>
                <w:b/>
                <w:bCs/>
                <w:color w:val="000000"/>
                <w:sz w:val="22"/>
                <w:szCs w:val="22"/>
              </w:rPr>
              <w:t>Валовая прибыль (убыток)</w:t>
            </w:r>
          </w:p>
        </w:tc>
        <w:tc>
          <w:tcPr>
            <w:tcW w:w="1176" w:type="dxa"/>
            <w:tcBorders>
              <w:top w:val="nil"/>
              <w:left w:val="nil"/>
              <w:bottom w:val="single" w:sz="4" w:space="0" w:color="auto"/>
              <w:right w:val="single" w:sz="4" w:space="0" w:color="auto"/>
            </w:tcBorders>
            <w:noWrap/>
            <w:vAlign w:val="center"/>
            <w:hideMark/>
          </w:tcPr>
          <w:p w:rsidR="000D732C" w:rsidRDefault="000D732C">
            <w:pPr>
              <w:jc w:val="center"/>
              <w:rPr>
                <w:rFonts w:ascii="Calibri" w:hAnsi="Calibri" w:cs="Calibri"/>
                <w:b/>
                <w:bCs/>
                <w:color w:val="000000"/>
              </w:rPr>
            </w:pPr>
            <w:r>
              <w:rPr>
                <w:rFonts w:ascii="Calibri" w:hAnsi="Calibri" w:cs="Calibri"/>
                <w:b/>
                <w:bCs/>
                <w:color w:val="000000"/>
                <w:sz w:val="22"/>
                <w:szCs w:val="22"/>
              </w:rPr>
              <w:t>2100</w:t>
            </w: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769" w:type="dxa"/>
            <w:gridSpan w:val="2"/>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769"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b/>
                <w:bCs/>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tcBorders>
              <w:top w:val="nil"/>
              <w:left w:val="single" w:sz="4" w:space="0" w:color="auto"/>
              <w:bottom w:val="single" w:sz="4" w:space="0" w:color="auto"/>
              <w:right w:val="single" w:sz="4" w:space="0" w:color="auto"/>
            </w:tcBorders>
            <w:vAlign w:val="bottom"/>
            <w:hideMark/>
          </w:tcPr>
          <w:p w:rsidR="000D732C" w:rsidRDefault="000D732C">
            <w:pPr>
              <w:rPr>
                <w:rFonts w:ascii="Calibri" w:hAnsi="Calibri" w:cs="Calibri"/>
                <w:color w:val="000000"/>
              </w:rPr>
            </w:pPr>
            <w:r>
              <w:rPr>
                <w:rFonts w:ascii="Calibri" w:hAnsi="Calibri" w:cs="Calibri"/>
                <w:color w:val="000000"/>
                <w:sz w:val="22"/>
                <w:szCs w:val="22"/>
              </w:rPr>
              <w:t>Коммерческие расходы</w:t>
            </w:r>
          </w:p>
        </w:tc>
        <w:tc>
          <w:tcPr>
            <w:tcW w:w="1176" w:type="dxa"/>
            <w:tcBorders>
              <w:top w:val="nil"/>
              <w:left w:val="nil"/>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2210</w:t>
            </w: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769" w:type="dxa"/>
            <w:gridSpan w:val="2"/>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769"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tcBorders>
              <w:top w:val="nil"/>
              <w:left w:val="single" w:sz="4" w:space="0" w:color="auto"/>
              <w:bottom w:val="single" w:sz="4" w:space="0" w:color="auto"/>
              <w:right w:val="single" w:sz="4" w:space="0" w:color="auto"/>
            </w:tcBorders>
            <w:vAlign w:val="bottom"/>
            <w:hideMark/>
          </w:tcPr>
          <w:p w:rsidR="000D732C" w:rsidRDefault="000D732C">
            <w:pPr>
              <w:rPr>
                <w:rFonts w:ascii="Calibri" w:hAnsi="Calibri" w:cs="Calibri"/>
                <w:color w:val="000000"/>
              </w:rPr>
            </w:pPr>
            <w:r>
              <w:rPr>
                <w:rFonts w:ascii="Calibri" w:hAnsi="Calibri" w:cs="Calibri"/>
                <w:color w:val="000000"/>
                <w:sz w:val="22"/>
                <w:szCs w:val="22"/>
              </w:rPr>
              <w:t>Управленческие расходы</w:t>
            </w:r>
          </w:p>
        </w:tc>
        <w:tc>
          <w:tcPr>
            <w:tcW w:w="1176" w:type="dxa"/>
            <w:tcBorders>
              <w:top w:val="nil"/>
              <w:left w:val="nil"/>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2220</w:t>
            </w: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769" w:type="dxa"/>
            <w:gridSpan w:val="2"/>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769"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tcBorders>
              <w:top w:val="nil"/>
              <w:left w:val="single" w:sz="4" w:space="0" w:color="auto"/>
              <w:bottom w:val="single" w:sz="4" w:space="0" w:color="auto"/>
              <w:right w:val="single" w:sz="4" w:space="0" w:color="auto"/>
            </w:tcBorders>
            <w:vAlign w:val="bottom"/>
            <w:hideMark/>
          </w:tcPr>
          <w:p w:rsidR="000D732C" w:rsidRDefault="000D732C">
            <w:pPr>
              <w:rPr>
                <w:rFonts w:ascii="Calibri" w:hAnsi="Calibri" w:cs="Calibri"/>
                <w:b/>
                <w:bCs/>
                <w:color w:val="000000"/>
              </w:rPr>
            </w:pPr>
            <w:r>
              <w:rPr>
                <w:rFonts w:ascii="Calibri" w:hAnsi="Calibri" w:cs="Calibri"/>
                <w:b/>
                <w:bCs/>
                <w:color w:val="000000"/>
                <w:sz w:val="22"/>
                <w:szCs w:val="22"/>
              </w:rPr>
              <w:t>Прибыль (убыток) от продаж</w:t>
            </w:r>
          </w:p>
        </w:tc>
        <w:tc>
          <w:tcPr>
            <w:tcW w:w="1176" w:type="dxa"/>
            <w:tcBorders>
              <w:top w:val="nil"/>
              <w:left w:val="nil"/>
              <w:bottom w:val="single" w:sz="4" w:space="0" w:color="auto"/>
              <w:right w:val="single" w:sz="4" w:space="0" w:color="auto"/>
            </w:tcBorders>
            <w:noWrap/>
            <w:vAlign w:val="center"/>
            <w:hideMark/>
          </w:tcPr>
          <w:p w:rsidR="000D732C" w:rsidRDefault="000D732C">
            <w:pPr>
              <w:jc w:val="center"/>
              <w:rPr>
                <w:rFonts w:ascii="Calibri" w:hAnsi="Calibri" w:cs="Calibri"/>
                <w:b/>
                <w:bCs/>
                <w:color w:val="000000"/>
              </w:rPr>
            </w:pPr>
            <w:r>
              <w:rPr>
                <w:rFonts w:ascii="Calibri" w:hAnsi="Calibri" w:cs="Calibri"/>
                <w:b/>
                <w:bCs/>
                <w:color w:val="000000"/>
                <w:sz w:val="22"/>
                <w:szCs w:val="22"/>
              </w:rPr>
              <w:t>2200</w:t>
            </w: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769" w:type="dxa"/>
            <w:gridSpan w:val="2"/>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769"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b/>
                <w:bCs/>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tcBorders>
              <w:top w:val="nil"/>
              <w:left w:val="single" w:sz="4" w:space="0" w:color="auto"/>
              <w:bottom w:val="single" w:sz="4" w:space="0" w:color="auto"/>
              <w:right w:val="single" w:sz="4" w:space="0" w:color="auto"/>
            </w:tcBorders>
            <w:vAlign w:val="bottom"/>
            <w:hideMark/>
          </w:tcPr>
          <w:p w:rsidR="000D732C" w:rsidRDefault="000D732C">
            <w:pPr>
              <w:rPr>
                <w:rFonts w:ascii="Calibri" w:hAnsi="Calibri" w:cs="Calibri"/>
                <w:color w:val="000000"/>
              </w:rPr>
            </w:pPr>
            <w:r>
              <w:rPr>
                <w:rFonts w:ascii="Calibri" w:hAnsi="Calibri" w:cs="Calibri"/>
                <w:color w:val="000000"/>
                <w:sz w:val="22"/>
                <w:szCs w:val="22"/>
              </w:rPr>
              <w:t>Доходы от участия в других организациях</w:t>
            </w:r>
          </w:p>
        </w:tc>
        <w:tc>
          <w:tcPr>
            <w:tcW w:w="1176" w:type="dxa"/>
            <w:tcBorders>
              <w:top w:val="nil"/>
              <w:left w:val="nil"/>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2310</w:t>
            </w: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769" w:type="dxa"/>
            <w:gridSpan w:val="2"/>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769" w:type="dxa"/>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tcBorders>
              <w:top w:val="nil"/>
              <w:left w:val="single" w:sz="4" w:space="0" w:color="auto"/>
              <w:bottom w:val="single" w:sz="4" w:space="0" w:color="auto"/>
              <w:right w:val="single" w:sz="4" w:space="0" w:color="auto"/>
            </w:tcBorders>
            <w:vAlign w:val="bottom"/>
            <w:hideMark/>
          </w:tcPr>
          <w:p w:rsidR="000D732C" w:rsidRDefault="000D732C">
            <w:pPr>
              <w:rPr>
                <w:rFonts w:ascii="Calibri" w:hAnsi="Calibri" w:cs="Calibri"/>
                <w:color w:val="000000"/>
              </w:rPr>
            </w:pPr>
            <w:r>
              <w:rPr>
                <w:rFonts w:ascii="Calibri" w:hAnsi="Calibri" w:cs="Calibri"/>
                <w:color w:val="000000"/>
                <w:sz w:val="22"/>
                <w:szCs w:val="22"/>
              </w:rPr>
              <w:t>Проценты к получению</w:t>
            </w:r>
          </w:p>
        </w:tc>
        <w:tc>
          <w:tcPr>
            <w:tcW w:w="1176" w:type="dxa"/>
            <w:tcBorders>
              <w:top w:val="nil"/>
              <w:left w:val="nil"/>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2320</w:t>
            </w: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769" w:type="dxa"/>
            <w:gridSpan w:val="2"/>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769" w:type="dxa"/>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tcBorders>
              <w:top w:val="nil"/>
              <w:left w:val="single" w:sz="4" w:space="0" w:color="auto"/>
              <w:bottom w:val="single" w:sz="4" w:space="0" w:color="auto"/>
              <w:right w:val="single" w:sz="4" w:space="0" w:color="auto"/>
            </w:tcBorders>
            <w:vAlign w:val="bottom"/>
            <w:hideMark/>
          </w:tcPr>
          <w:p w:rsidR="000D732C" w:rsidRDefault="000D732C">
            <w:pPr>
              <w:rPr>
                <w:rFonts w:ascii="Calibri" w:hAnsi="Calibri" w:cs="Calibri"/>
                <w:color w:val="000000"/>
              </w:rPr>
            </w:pPr>
            <w:r>
              <w:rPr>
                <w:rFonts w:ascii="Calibri" w:hAnsi="Calibri" w:cs="Calibri"/>
                <w:color w:val="000000"/>
                <w:sz w:val="22"/>
                <w:szCs w:val="22"/>
              </w:rPr>
              <w:t>Проценты к уплате</w:t>
            </w:r>
          </w:p>
        </w:tc>
        <w:tc>
          <w:tcPr>
            <w:tcW w:w="1176" w:type="dxa"/>
            <w:tcBorders>
              <w:top w:val="nil"/>
              <w:left w:val="nil"/>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2330</w:t>
            </w: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769" w:type="dxa"/>
            <w:gridSpan w:val="2"/>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769" w:type="dxa"/>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tcBorders>
              <w:top w:val="nil"/>
              <w:left w:val="single" w:sz="4" w:space="0" w:color="auto"/>
              <w:bottom w:val="single" w:sz="4" w:space="0" w:color="auto"/>
              <w:right w:val="single" w:sz="4" w:space="0" w:color="auto"/>
            </w:tcBorders>
            <w:vAlign w:val="bottom"/>
            <w:hideMark/>
          </w:tcPr>
          <w:p w:rsidR="000D732C" w:rsidRDefault="000D732C">
            <w:pPr>
              <w:rPr>
                <w:rFonts w:ascii="Calibri" w:hAnsi="Calibri" w:cs="Calibri"/>
                <w:color w:val="000000"/>
              </w:rPr>
            </w:pPr>
            <w:r>
              <w:rPr>
                <w:rFonts w:ascii="Calibri" w:hAnsi="Calibri" w:cs="Calibri"/>
                <w:color w:val="000000"/>
                <w:sz w:val="22"/>
                <w:szCs w:val="22"/>
              </w:rPr>
              <w:t>Прочие доходы</w:t>
            </w:r>
          </w:p>
        </w:tc>
        <w:tc>
          <w:tcPr>
            <w:tcW w:w="1176" w:type="dxa"/>
            <w:tcBorders>
              <w:top w:val="nil"/>
              <w:left w:val="nil"/>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2340</w:t>
            </w: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769" w:type="dxa"/>
            <w:gridSpan w:val="2"/>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769" w:type="dxa"/>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tcBorders>
              <w:top w:val="nil"/>
              <w:left w:val="single" w:sz="4" w:space="0" w:color="auto"/>
              <w:bottom w:val="single" w:sz="4" w:space="0" w:color="auto"/>
              <w:right w:val="single" w:sz="4" w:space="0" w:color="auto"/>
            </w:tcBorders>
            <w:vAlign w:val="bottom"/>
            <w:hideMark/>
          </w:tcPr>
          <w:p w:rsidR="000D732C" w:rsidRDefault="000D732C">
            <w:pPr>
              <w:rPr>
                <w:rFonts w:ascii="Calibri" w:hAnsi="Calibri" w:cs="Calibri"/>
                <w:color w:val="000000"/>
              </w:rPr>
            </w:pPr>
            <w:r>
              <w:rPr>
                <w:rFonts w:ascii="Calibri" w:hAnsi="Calibri" w:cs="Calibri"/>
                <w:color w:val="000000"/>
                <w:sz w:val="22"/>
                <w:szCs w:val="22"/>
              </w:rPr>
              <w:t>Прочие расходы</w:t>
            </w:r>
          </w:p>
        </w:tc>
        <w:tc>
          <w:tcPr>
            <w:tcW w:w="1176" w:type="dxa"/>
            <w:tcBorders>
              <w:top w:val="nil"/>
              <w:left w:val="nil"/>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2350</w:t>
            </w: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769" w:type="dxa"/>
            <w:gridSpan w:val="2"/>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769" w:type="dxa"/>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tcBorders>
              <w:top w:val="nil"/>
              <w:left w:val="single" w:sz="4" w:space="0" w:color="auto"/>
              <w:bottom w:val="single" w:sz="4" w:space="0" w:color="auto"/>
              <w:right w:val="single" w:sz="4" w:space="0" w:color="auto"/>
            </w:tcBorders>
            <w:vAlign w:val="bottom"/>
            <w:hideMark/>
          </w:tcPr>
          <w:p w:rsidR="000D732C" w:rsidRDefault="000D732C">
            <w:pPr>
              <w:rPr>
                <w:rFonts w:ascii="Calibri" w:hAnsi="Calibri" w:cs="Calibri"/>
                <w:b/>
                <w:bCs/>
                <w:color w:val="000000"/>
              </w:rPr>
            </w:pPr>
            <w:r>
              <w:rPr>
                <w:rFonts w:ascii="Calibri" w:hAnsi="Calibri" w:cs="Calibri"/>
                <w:b/>
                <w:bCs/>
                <w:color w:val="000000"/>
                <w:sz w:val="22"/>
                <w:szCs w:val="22"/>
              </w:rPr>
              <w:t>Прибыль (убыток) до налогообложения</w:t>
            </w:r>
          </w:p>
        </w:tc>
        <w:tc>
          <w:tcPr>
            <w:tcW w:w="1176" w:type="dxa"/>
            <w:tcBorders>
              <w:top w:val="nil"/>
              <w:left w:val="nil"/>
              <w:bottom w:val="single" w:sz="4" w:space="0" w:color="auto"/>
              <w:right w:val="single" w:sz="4" w:space="0" w:color="auto"/>
            </w:tcBorders>
            <w:noWrap/>
            <w:vAlign w:val="center"/>
            <w:hideMark/>
          </w:tcPr>
          <w:p w:rsidR="000D732C" w:rsidRDefault="000D732C">
            <w:pPr>
              <w:jc w:val="center"/>
              <w:rPr>
                <w:rFonts w:ascii="Calibri" w:hAnsi="Calibri" w:cs="Calibri"/>
                <w:b/>
                <w:bCs/>
                <w:color w:val="000000"/>
              </w:rPr>
            </w:pPr>
            <w:r>
              <w:rPr>
                <w:rFonts w:ascii="Calibri" w:hAnsi="Calibri" w:cs="Calibri"/>
                <w:b/>
                <w:bCs/>
                <w:color w:val="000000"/>
                <w:sz w:val="22"/>
                <w:szCs w:val="22"/>
              </w:rPr>
              <w:t>2300</w:t>
            </w: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769" w:type="dxa"/>
            <w:gridSpan w:val="2"/>
            <w:tcBorders>
              <w:top w:val="nil"/>
              <w:left w:val="nil"/>
              <w:bottom w:val="single" w:sz="4" w:space="0" w:color="auto"/>
              <w:right w:val="single" w:sz="4" w:space="0" w:color="auto"/>
            </w:tcBorders>
            <w:noWrap/>
            <w:vAlign w:val="center"/>
          </w:tcPr>
          <w:p w:rsidR="000D732C" w:rsidRDefault="000D732C">
            <w:pPr>
              <w:rPr>
                <w:rFonts w:ascii="Calibri" w:hAnsi="Calibri" w:cs="Calibri"/>
                <w:b/>
                <w:bCs/>
                <w:color w:val="000000"/>
              </w:rPr>
            </w:pPr>
          </w:p>
        </w:tc>
        <w:tc>
          <w:tcPr>
            <w:tcW w:w="1769" w:type="dxa"/>
            <w:tcBorders>
              <w:top w:val="nil"/>
              <w:left w:val="nil"/>
              <w:bottom w:val="single" w:sz="4" w:space="0" w:color="auto"/>
              <w:right w:val="single" w:sz="4" w:space="0" w:color="auto"/>
            </w:tcBorders>
            <w:noWrap/>
            <w:vAlign w:val="center"/>
          </w:tcPr>
          <w:p w:rsidR="000D732C" w:rsidRDefault="000D732C">
            <w:pPr>
              <w:jc w:val="right"/>
              <w:rPr>
                <w:rFonts w:ascii="Calibri" w:hAnsi="Calibri" w:cs="Calibri"/>
                <w:b/>
                <w:bCs/>
                <w:color w:val="000000"/>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tcBorders>
              <w:top w:val="nil"/>
              <w:left w:val="single" w:sz="4" w:space="0" w:color="auto"/>
              <w:bottom w:val="single" w:sz="4" w:space="0" w:color="auto"/>
              <w:right w:val="single" w:sz="4" w:space="0" w:color="auto"/>
            </w:tcBorders>
            <w:vAlign w:val="bottom"/>
            <w:hideMark/>
          </w:tcPr>
          <w:p w:rsidR="000D732C" w:rsidRDefault="000D732C">
            <w:pPr>
              <w:rPr>
                <w:rFonts w:ascii="Calibri" w:hAnsi="Calibri" w:cs="Calibri"/>
                <w:color w:val="000000"/>
              </w:rPr>
            </w:pPr>
            <w:r>
              <w:rPr>
                <w:rFonts w:ascii="Calibri" w:hAnsi="Calibri" w:cs="Calibri"/>
                <w:color w:val="000000"/>
                <w:sz w:val="22"/>
                <w:szCs w:val="22"/>
              </w:rPr>
              <w:t>Текущий налог на прибыль</w:t>
            </w:r>
          </w:p>
        </w:tc>
        <w:tc>
          <w:tcPr>
            <w:tcW w:w="1176" w:type="dxa"/>
            <w:tcBorders>
              <w:top w:val="nil"/>
              <w:left w:val="nil"/>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2410</w:t>
            </w: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769" w:type="dxa"/>
            <w:gridSpan w:val="2"/>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769" w:type="dxa"/>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600"/>
        </w:trPr>
        <w:tc>
          <w:tcPr>
            <w:tcW w:w="2410" w:type="dxa"/>
            <w:tcBorders>
              <w:top w:val="nil"/>
              <w:left w:val="single" w:sz="4" w:space="0" w:color="auto"/>
              <w:bottom w:val="single" w:sz="4" w:space="0" w:color="auto"/>
              <w:right w:val="single" w:sz="4" w:space="0" w:color="auto"/>
            </w:tcBorders>
            <w:vAlign w:val="bottom"/>
            <w:hideMark/>
          </w:tcPr>
          <w:p w:rsidR="000D732C" w:rsidRDefault="000D732C">
            <w:pPr>
              <w:rPr>
                <w:rFonts w:ascii="Calibri" w:hAnsi="Calibri" w:cs="Calibri"/>
                <w:color w:val="000000"/>
              </w:rPr>
            </w:pPr>
            <w:r>
              <w:rPr>
                <w:rFonts w:ascii="Calibri" w:hAnsi="Calibri" w:cs="Calibri"/>
                <w:color w:val="000000"/>
                <w:sz w:val="22"/>
                <w:szCs w:val="22"/>
              </w:rPr>
              <w:t xml:space="preserve">в </w:t>
            </w:r>
            <w:proofErr w:type="spellStart"/>
            <w:r>
              <w:rPr>
                <w:rFonts w:ascii="Calibri" w:hAnsi="Calibri" w:cs="Calibri"/>
                <w:color w:val="000000"/>
                <w:sz w:val="22"/>
                <w:szCs w:val="22"/>
              </w:rPr>
              <w:t>т.ч</w:t>
            </w:r>
            <w:proofErr w:type="spellEnd"/>
            <w:r>
              <w:rPr>
                <w:rFonts w:ascii="Calibri" w:hAnsi="Calibri" w:cs="Calibri"/>
                <w:color w:val="000000"/>
                <w:sz w:val="22"/>
                <w:szCs w:val="22"/>
              </w:rPr>
              <w:t>. постоянные налоговые обязательства</w:t>
            </w:r>
            <w:r>
              <w:rPr>
                <w:rFonts w:ascii="Calibri" w:hAnsi="Calibri" w:cs="Calibri"/>
                <w:color w:val="000000"/>
                <w:sz w:val="22"/>
                <w:szCs w:val="22"/>
              </w:rPr>
              <w:br/>
              <w:t>(активы)</w:t>
            </w:r>
          </w:p>
        </w:tc>
        <w:tc>
          <w:tcPr>
            <w:tcW w:w="1176" w:type="dxa"/>
            <w:tcBorders>
              <w:top w:val="nil"/>
              <w:left w:val="nil"/>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2421</w:t>
            </w: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769" w:type="dxa"/>
            <w:gridSpan w:val="2"/>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769" w:type="dxa"/>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tcBorders>
              <w:top w:val="nil"/>
              <w:left w:val="single" w:sz="4" w:space="0" w:color="auto"/>
              <w:bottom w:val="single" w:sz="4" w:space="0" w:color="auto"/>
              <w:right w:val="single" w:sz="4" w:space="0" w:color="auto"/>
            </w:tcBorders>
            <w:vAlign w:val="bottom"/>
            <w:hideMark/>
          </w:tcPr>
          <w:p w:rsidR="000D732C" w:rsidRDefault="000D732C">
            <w:pPr>
              <w:rPr>
                <w:rFonts w:ascii="Calibri" w:hAnsi="Calibri" w:cs="Calibri"/>
                <w:color w:val="000000"/>
              </w:rPr>
            </w:pPr>
            <w:r>
              <w:rPr>
                <w:rFonts w:ascii="Calibri" w:hAnsi="Calibri" w:cs="Calibri"/>
                <w:color w:val="000000"/>
                <w:sz w:val="22"/>
                <w:szCs w:val="22"/>
              </w:rPr>
              <w:t>Изменение отложенных налоговых обязательств</w:t>
            </w:r>
          </w:p>
        </w:tc>
        <w:tc>
          <w:tcPr>
            <w:tcW w:w="1176" w:type="dxa"/>
            <w:tcBorders>
              <w:top w:val="nil"/>
              <w:left w:val="nil"/>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2430</w:t>
            </w:r>
          </w:p>
        </w:tc>
        <w:tc>
          <w:tcPr>
            <w:tcW w:w="1238" w:type="dxa"/>
            <w:tcBorders>
              <w:top w:val="nil"/>
              <w:left w:val="nil"/>
              <w:bottom w:val="single" w:sz="4" w:space="0" w:color="auto"/>
              <w:right w:val="single" w:sz="4" w:space="0" w:color="auto"/>
            </w:tcBorders>
            <w:noWrap/>
            <w:vAlign w:val="bottom"/>
            <w:hideMark/>
          </w:tcPr>
          <w:p w:rsidR="000D732C" w:rsidRDefault="000D732C">
            <w:pPr>
              <w:rPr>
                <w:rFonts w:ascii="Calibri" w:hAnsi="Calibri" w:cs="Calibri"/>
              </w:rPr>
            </w:pPr>
            <w:r>
              <w:rPr>
                <w:rFonts w:ascii="Calibri" w:hAnsi="Calibri" w:cs="Calibri"/>
                <w:sz w:val="22"/>
                <w:szCs w:val="22"/>
              </w:rPr>
              <w:t> </w:t>
            </w:r>
          </w:p>
        </w:tc>
        <w:tc>
          <w:tcPr>
            <w:tcW w:w="1238" w:type="dxa"/>
            <w:tcBorders>
              <w:top w:val="nil"/>
              <w:left w:val="nil"/>
              <w:bottom w:val="single" w:sz="4" w:space="0" w:color="auto"/>
              <w:right w:val="single" w:sz="4" w:space="0" w:color="auto"/>
            </w:tcBorders>
            <w:noWrap/>
            <w:vAlign w:val="bottom"/>
            <w:hideMark/>
          </w:tcPr>
          <w:p w:rsidR="000D732C" w:rsidRDefault="000D732C">
            <w:pPr>
              <w:rPr>
                <w:rFonts w:ascii="Calibri" w:hAnsi="Calibri" w:cs="Calibri"/>
              </w:rPr>
            </w:pPr>
            <w:r>
              <w:rPr>
                <w:rFonts w:ascii="Calibri" w:hAnsi="Calibri" w:cs="Calibri"/>
                <w:sz w:val="22"/>
                <w:szCs w:val="22"/>
              </w:rPr>
              <w:t> </w:t>
            </w:r>
          </w:p>
        </w:tc>
        <w:tc>
          <w:tcPr>
            <w:tcW w:w="1238" w:type="dxa"/>
            <w:tcBorders>
              <w:top w:val="nil"/>
              <w:left w:val="nil"/>
              <w:bottom w:val="single" w:sz="4" w:space="0" w:color="auto"/>
              <w:right w:val="single" w:sz="4" w:space="0" w:color="auto"/>
            </w:tcBorders>
            <w:noWrap/>
            <w:vAlign w:val="bottom"/>
            <w:hideMark/>
          </w:tcPr>
          <w:p w:rsidR="000D732C" w:rsidRDefault="000D732C">
            <w:pPr>
              <w:rPr>
                <w:rFonts w:ascii="Calibri" w:hAnsi="Calibri" w:cs="Calibri"/>
              </w:rPr>
            </w:pPr>
            <w:r>
              <w:rPr>
                <w:rFonts w:ascii="Calibri" w:hAnsi="Calibri" w:cs="Calibri"/>
                <w:sz w:val="22"/>
                <w:szCs w:val="22"/>
              </w:rPr>
              <w:t> </w:t>
            </w:r>
          </w:p>
        </w:tc>
        <w:tc>
          <w:tcPr>
            <w:tcW w:w="1238" w:type="dxa"/>
            <w:tcBorders>
              <w:top w:val="nil"/>
              <w:left w:val="nil"/>
              <w:bottom w:val="single" w:sz="4" w:space="0" w:color="auto"/>
              <w:right w:val="single" w:sz="4" w:space="0" w:color="auto"/>
            </w:tcBorders>
            <w:noWrap/>
            <w:vAlign w:val="bottom"/>
            <w:hideMark/>
          </w:tcPr>
          <w:p w:rsidR="000D732C" w:rsidRDefault="000D732C">
            <w:pPr>
              <w:rPr>
                <w:rFonts w:ascii="Calibri" w:hAnsi="Calibri" w:cs="Calibri"/>
              </w:rPr>
            </w:pPr>
            <w:r>
              <w:rPr>
                <w:rFonts w:ascii="Calibri" w:hAnsi="Calibri" w:cs="Calibri"/>
                <w:sz w:val="22"/>
                <w:szCs w:val="22"/>
              </w:rPr>
              <w:t> </w:t>
            </w:r>
          </w:p>
        </w:tc>
        <w:tc>
          <w:tcPr>
            <w:tcW w:w="1238" w:type="dxa"/>
            <w:tcBorders>
              <w:top w:val="nil"/>
              <w:left w:val="nil"/>
              <w:bottom w:val="single" w:sz="4" w:space="0" w:color="auto"/>
              <w:right w:val="single" w:sz="4" w:space="0" w:color="auto"/>
            </w:tcBorders>
            <w:noWrap/>
            <w:vAlign w:val="bottom"/>
            <w:hideMark/>
          </w:tcPr>
          <w:p w:rsidR="000D732C" w:rsidRDefault="000D732C">
            <w:pPr>
              <w:rPr>
                <w:rFonts w:ascii="Calibri" w:hAnsi="Calibri" w:cs="Calibri"/>
              </w:rPr>
            </w:pPr>
            <w:r>
              <w:rPr>
                <w:rFonts w:ascii="Calibri" w:hAnsi="Calibri" w:cs="Calibri"/>
                <w:sz w:val="22"/>
                <w:szCs w:val="22"/>
              </w:rPr>
              <w:t> </w:t>
            </w:r>
          </w:p>
        </w:tc>
        <w:tc>
          <w:tcPr>
            <w:tcW w:w="1769" w:type="dxa"/>
            <w:gridSpan w:val="2"/>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769" w:type="dxa"/>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tcBorders>
              <w:top w:val="nil"/>
              <w:left w:val="single" w:sz="4" w:space="0" w:color="auto"/>
              <w:bottom w:val="single" w:sz="4" w:space="0" w:color="auto"/>
              <w:right w:val="single" w:sz="4" w:space="0" w:color="auto"/>
            </w:tcBorders>
            <w:vAlign w:val="bottom"/>
            <w:hideMark/>
          </w:tcPr>
          <w:p w:rsidR="000D732C" w:rsidRDefault="000D732C">
            <w:pPr>
              <w:rPr>
                <w:rFonts w:ascii="Calibri" w:hAnsi="Calibri" w:cs="Calibri"/>
                <w:color w:val="000000"/>
              </w:rPr>
            </w:pPr>
            <w:r>
              <w:rPr>
                <w:rFonts w:ascii="Calibri" w:hAnsi="Calibri" w:cs="Calibri"/>
                <w:color w:val="000000"/>
                <w:sz w:val="22"/>
                <w:szCs w:val="22"/>
              </w:rPr>
              <w:t xml:space="preserve">Изменение </w:t>
            </w:r>
            <w:r>
              <w:rPr>
                <w:rFonts w:ascii="Calibri" w:hAnsi="Calibri" w:cs="Calibri"/>
                <w:color w:val="000000"/>
                <w:sz w:val="22"/>
                <w:szCs w:val="22"/>
              </w:rPr>
              <w:lastRenderedPageBreak/>
              <w:t>отложенных налоговых активов</w:t>
            </w:r>
          </w:p>
        </w:tc>
        <w:tc>
          <w:tcPr>
            <w:tcW w:w="1176" w:type="dxa"/>
            <w:tcBorders>
              <w:top w:val="nil"/>
              <w:left w:val="nil"/>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lastRenderedPageBreak/>
              <w:t>2450</w:t>
            </w: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769" w:type="dxa"/>
            <w:gridSpan w:val="2"/>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769" w:type="dxa"/>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tcBorders>
              <w:top w:val="nil"/>
              <w:left w:val="single" w:sz="4" w:space="0" w:color="auto"/>
              <w:bottom w:val="single" w:sz="4" w:space="0" w:color="auto"/>
              <w:right w:val="single" w:sz="4" w:space="0" w:color="auto"/>
            </w:tcBorders>
            <w:vAlign w:val="bottom"/>
            <w:hideMark/>
          </w:tcPr>
          <w:p w:rsidR="000D732C" w:rsidRDefault="000D732C">
            <w:pPr>
              <w:rPr>
                <w:rFonts w:ascii="Calibri" w:hAnsi="Calibri" w:cs="Calibri"/>
                <w:color w:val="000000"/>
              </w:rPr>
            </w:pPr>
            <w:r>
              <w:rPr>
                <w:rFonts w:ascii="Calibri" w:hAnsi="Calibri" w:cs="Calibri"/>
                <w:color w:val="000000"/>
                <w:sz w:val="22"/>
                <w:szCs w:val="22"/>
              </w:rPr>
              <w:lastRenderedPageBreak/>
              <w:t>Прочее</w:t>
            </w:r>
          </w:p>
        </w:tc>
        <w:tc>
          <w:tcPr>
            <w:tcW w:w="1176" w:type="dxa"/>
            <w:tcBorders>
              <w:top w:val="nil"/>
              <w:left w:val="nil"/>
              <w:bottom w:val="single" w:sz="4" w:space="0" w:color="auto"/>
              <w:right w:val="single" w:sz="4" w:space="0" w:color="auto"/>
            </w:tcBorders>
            <w:noWrap/>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2460</w:t>
            </w: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238" w:type="dxa"/>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769" w:type="dxa"/>
            <w:gridSpan w:val="2"/>
            <w:tcBorders>
              <w:top w:val="nil"/>
              <w:left w:val="nil"/>
              <w:bottom w:val="single" w:sz="4" w:space="0" w:color="auto"/>
              <w:right w:val="single" w:sz="4" w:space="0" w:color="auto"/>
            </w:tcBorders>
            <w:noWrap/>
            <w:vAlign w:val="bottom"/>
          </w:tcPr>
          <w:p w:rsidR="000D732C" w:rsidRDefault="000D732C">
            <w:pPr>
              <w:rPr>
                <w:rFonts w:ascii="Calibri" w:hAnsi="Calibri" w:cs="Calibri"/>
              </w:rPr>
            </w:pPr>
          </w:p>
        </w:tc>
        <w:tc>
          <w:tcPr>
            <w:tcW w:w="1769" w:type="dxa"/>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rPr>
            </w:pPr>
          </w:p>
        </w:tc>
        <w:tc>
          <w:tcPr>
            <w:tcW w:w="1655" w:type="dxa"/>
            <w:tcBorders>
              <w:top w:val="nil"/>
              <w:left w:val="nil"/>
              <w:bottom w:val="single" w:sz="4" w:space="0" w:color="auto"/>
              <w:right w:val="single" w:sz="4" w:space="0" w:color="auto"/>
            </w:tcBorders>
            <w:noWrap/>
            <w:vAlign w:val="center"/>
          </w:tcPr>
          <w:p w:rsidR="000D732C" w:rsidRDefault="000D732C">
            <w:pPr>
              <w:rPr>
                <w:rFonts w:ascii="Calibri" w:hAnsi="Calibri" w:cs="Calibri"/>
                <w:color w:val="000000"/>
              </w:rPr>
            </w:pP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tcBorders>
              <w:top w:val="nil"/>
              <w:left w:val="single" w:sz="4" w:space="0" w:color="auto"/>
              <w:bottom w:val="single" w:sz="4" w:space="0" w:color="auto"/>
              <w:right w:val="single" w:sz="4" w:space="0" w:color="auto"/>
            </w:tcBorders>
            <w:shd w:val="clear" w:color="auto" w:fill="FCE4D6"/>
            <w:vAlign w:val="bottom"/>
            <w:hideMark/>
          </w:tcPr>
          <w:p w:rsidR="000D732C" w:rsidRDefault="000D732C">
            <w:pPr>
              <w:rPr>
                <w:rFonts w:ascii="Calibri" w:hAnsi="Calibri" w:cs="Calibri"/>
                <w:b/>
                <w:bCs/>
                <w:color w:val="000000"/>
              </w:rPr>
            </w:pPr>
            <w:r>
              <w:rPr>
                <w:rFonts w:ascii="Calibri" w:hAnsi="Calibri" w:cs="Calibri"/>
                <w:b/>
                <w:bCs/>
                <w:color w:val="000000"/>
                <w:sz w:val="22"/>
                <w:szCs w:val="22"/>
              </w:rPr>
              <w:t>Чистая прибыль (убыток)</w:t>
            </w:r>
          </w:p>
        </w:tc>
        <w:tc>
          <w:tcPr>
            <w:tcW w:w="1176" w:type="dxa"/>
            <w:tcBorders>
              <w:top w:val="nil"/>
              <w:left w:val="nil"/>
              <w:bottom w:val="single" w:sz="4" w:space="0" w:color="auto"/>
              <w:right w:val="single" w:sz="4" w:space="0" w:color="auto"/>
            </w:tcBorders>
            <w:shd w:val="clear" w:color="auto" w:fill="FCE4D6"/>
            <w:noWrap/>
            <w:vAlign w:val="center"/>
            <w:hideMark/>
          </w:tcPr>
          <w:p w:rsidR="000D732C" w:rsidRDefault="000D732C">
            <w:pPr>
              <w:jc w:val="center"/>
              <w:rPr>
                <w:rFonts w:ascii="Calibri" w:hAnsi="Calibri" w:cs="Calibri"/>
                <w:b/>
                <w:bCs/>
                <w:color w:val="000000"/>
              </w:rPr>
            </w:pPr>
            <w:r>
              <w:rPr>
                <w:rFonts w:ascii="Calibri" w:hAnsi="Calibri" w:cs="Calibri"/>
                <w:b/>
                <w:bCs/>
                <w:color w:val="000000"/>
                <w:sz w:val="22"/>
                <w:szCs w:val="22"/>
              </w:rPr>
              <w:t>2400</w:t>
            </w:r>
          </w:p>
        </w:tc>
        <w:tc>
          <w:tcPr>
            <w:tcW w:w="1238" w:type="dxa"/>
            <w:tcBorders>
              <w:top w:val="nil"/>
              <w:left w:val="nil"/>
              <w:bottom w:val="single" w:sz="4" w:space="0" w:color="auto"/>
              <w:right w:val="single" w:sz="4" w:space="0" w:color="auto"/>
            </w:tcBorders>
            <w:shd w:val="clear" w:color="auto" w:fill="FCE4D6"/>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FCE4D6"/>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FCE4D6"/>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FCE4D6"/>
            <w:noWrap/>
            <w:vAlign w:val="center"/>
          </w:tcPr>
          <w:p w:rsidR="000D732C" w:rsidRDefault="000D732C">
            <w:pPr>
              <w:rPr>
                <w:rFonts w:ascii="Calibri" w:hAnsi="Calibri" w:cs="Calibri"/>
                <w:b/>
                <w:bCs/>
                <w:color w:val="000000"/>
              </w:rPr>
            </w:pPr>
          </w:p>
        </w:tc>
        <w:tc>
          <w:tcPr>
            <w:tcW w:w="1238" w:type="dxa"/>
            <w:tcBorders>
              <w:top w:val="nil"/>
              <w:left w:val="nil"/>
              <w:bottom w:val="single" w:sz="4" w:space="0" w:color="auto"/>
              <w:right w:val="single" w:sz="4" w:space="0" w:color="auto"/>
            </w:tcBorders>
            <w:shd w:val="clear" w:color="auto" w:fill="FCE4D6"/>
            <w:noWrap/>
            <w:vAlign w:val="center"/>
          </w:tcPr>
          <w:p w:rsidR="000D732C" w:rsidRDefault="000D732C">
            <w:pPr>
              <w:rPr>
                <w:rFonts w:ascii="Calibri" w:hAnsi="Calibri" w:cs="Calibri"/>
                <w:b/>
                <w:bCs/>
                <w:color w:val="000000"/>
              </w:rPr>
            </w:pPr>
          </w:p>
        </w:tc>
        <w:tc>
          <w:tcPr>
            <w:tcW w:w="1769" w:type="dxa"/>
            <w:gridSpan w:val="2"/>
            <w:tcBorders>
              <w:top w:val="nil"/>
              <w:left w:val="nil"/>
              <w:bottom w:val="single" w:sz="4" w:space="0" w:color="auto"/>
              <w:right w:val="single" w:sz="4" w:space="0" w:color="auto"/>
            </w:tcBorders>
            <w:shd w:val="clear" w:color="auto" w:fill="FCE4D6"/>
            <w:noWrap/>
            <w:vAlign w:val="center"/>
          </w:tcPr>
          <w:p w:rsidR="000D732C" w:rsidRDefault="000D732C">
            <w:pPr>
              <w:rPr>
                <w:rFonts w:ascii="Calibri" w:hAnsi="Calibri" w:cs="Calibri"/>
                <w:b/>
                <w:bCs/>
                <w:color w:val="000000"/>
              </w:rPr>
            </w:pPr>
          </w:p>
        </w:tc>
        <w:tc>
          <w:tcPr>
            <w:tcW w:w="1769" w:type="dxa"/>
            <w:tcBorders>
              <w:top w:val="nil"/>
              <w:left w:val="nil"/>
              <w:bottom w:val="single" w:sz="4" w:space="0" w:color="auto"/>
              <w:right w:val="single" w:sz="4" w:space="0" w:color="auto"/>
            </w:tcBorders>
            <w:shd w:val="clear" w:color="auto" w:fill="FCE4D6"/>
            <w:noWrap/>
            <w:vAlign w:val="center"/>
          </w:tcPr>
          <w:p w:rsidR="000D732C" w:rsidRDefault="000D732C">
            <w:pPr>
              <w:jc w:val="right"/>
              <w:rPr>
                <w:rFonts w:ascii="Calibri" w:hAnsi="Calibri" w:cs="Calibri"/>
                <w:b/>
                <w:bCs/>
                <w:color w:val="000000"/>
              </w:rPr>
            </w:pPr>
          </w:p>
        </w:tc>
        <w:tc>
          <w:tcPr>
            <w:tcW w:w="1655" w:type="dxa"/>
            <w:tcBorders>
              <w:top w:val="nil"/>
              <w:left w:val="nil"/>
              <w:bottom w:val="single" w:sz="4" w:space="0" w:color="auto"/>
              <w:right w:val="single" w:sz="4" w:space="0" w:color="auto"/>
            </w:tcBorders>
            <w:shd w:val="clear" w:color="auto" w:fill="FCE4D6"/>
            <w:noWrap/>
            <w:vAlign w:val="center"/>
          </w:tcPr>
          <w:p w:rsidR="000D732C" w:rsidRDefault="000D732C">
            <w:pPr>
              <w:rPr>
                <w:rFonts w:ascii="Calibri" w:hAnsi="Calibri" w:cs="Calibri"/>
                <w:b/>
                <w:bCs/>
                <w:color w:val="000000"/>
              </w:rPr>
            </w:pP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176"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655"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176"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655"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176"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655"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Справочно:</w:t>
            </w:r>
          </w:p>
        </w:tc>
        <w:tc>
          <w:tcPr>
            <w:tcW w:w="1176"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655"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Данные счета 62.01 и 60.2</w:t>
            </w:r>
          </w:p>
        </w:tc>
        <w:tc>
          <w:tcPr>
            <w:tcW w:w="1176"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655"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600"/>
        </w:trPr>
        <w:tc>
          <w:tcPr>
            <w:tcW w:w="2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D732C" w:rsidRDefault="000D732C">
            <w:pPr>
              <w:rPr>
                <w:rFonts w:ascii="Calibri" w:hAnsi="Calibri" w:cs="Calibri"/>
                <w:color w:val="000000"/>
              </w:rPr>
            </w:pPr>
            <w:r>
              <w:rPr>
                <w:rFonts w:ascii="Calibri" w:hAnsi="Calibri" w:cs="Calibri"/>
                <w:color w:val="000000"/>
                <w:sz w:val="22"/>
                <w:szCs w:val="22"/>
              </w:rPr>
              <w:t>Объем задолженности считающейся проблемной</w:t>
            </w:r>
          </w:p>
        </w:tc>
        <w:tc>
          <w:tcPr>
            <w:tcW w:w="1176" w:type="dxa"/>
            <w:tcBorders>
              <w:top w:val="single" w:sz="4" w:space="0" w:color="auto"/>
              <w:left w:val="nil"/>
              <w:bottom w:val="single" w:sz="4" w:space="0" w:color="auto"/>
              <w:right w:val="single" w:sz="4" w:space="0" w:color="auto"/>
            </w:tcBorders>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proofErr w:type="spellStart"/>
            <w:r>
              <w:rPr>
                <w:rFonts w:ascii="Calibri" w:hAnsi="Calibri" w:cs="Calibri"/>
                <w:color w:val="000000"/>
                <w:sz w:val="22"/>
                <w:szCs w:val="22"/>
              </w:rPr>
              <w:t>тыс</w:t>
            </w:r>
            <w:proofErr w:type="gramStart"/>
            <w:r>
              <w:rPr>
                <w:rFonts w:ascii="Calibri" w:hAnsi="Calibri" w:cs="Calibri"/>
                <w:color w:val="000000"/>
                <w:sz w:val="22"/>
                <w:szCs w:val="22"/>
              </w:rPr>
              <w:t>.р</w:t>
            </w:r>
            <w:proofErr w:type="gramEnd"/>
            <w:r>
              <w:rPr>
                <w:rFonts w:ascii="Calibri" w:hAnsi="Calibri" w:cs="Calibri"/>
                <w:color w:val="000000"/>
                <w:sz w:val="22"/>
                <w:szCs w:val="22"/>
              </w:rPr>
              <w:t>уб</w:t>
            </w:r>
            <w:proofErr w:type="spellEnd"/>
            <w:r>
              <w:rPr>
                <w:rFonts w:ascii="Calibri" w:hAnsi="Calibri" w:cs="Calibri"/>
                <w:color w:val="000000"/>
                <w:sz w:val="22"/>
                <w:szCs w:val="22"/>
              </w:rPr>
              <w:t>.</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655"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600"/>
        </w:trPr>
        <w:tc>
          <w:tcPr>
            <w:tcW w:w="2410" w:type="dxa"/>
            <w:tcBorders>
              <w:top w:val="nil"/>
              <w:left w:val="single" w:sz="4" w:space="0" w:color="auto"/>
              <w:bottom w:val="single" w:sz="4" w:space="0" w:color="auto"/>
              <w:right w:val="single" w:sz="4" w:space="0" w:color="auto"/>
            </w:tcBorders>
            <w:shd w:val="clear" w:color="auto" w:fill="FFFFFF"/>
            <w:vAlign w:val="bottom"/>
            <w:hideMark/>
          </w:tcPr>
          <w:p w:rsidR="000D732C" w:rsidRDefault="000D732C">
            <w:pPr>
              <w:rPr>
                <w:rFonts w:ascii="Calibri" w:hAnsi="Calibri" w:cs="Calibri"/>
                <w:color w:val="000000"/>
              </w:rPr>
            </w:pPr>
            <w:r>
              <w:rPr>
                <w:rFonts w:ascii="Calibri" w:hAnsi="Calibri" w:cs="Calibri"/>
                <w:color w:val="000000"/>
                <w:sz w:val="22"/>
                <w:szCs w:val="22"/>
              </w:rPr>
              <w:t>Доля задолженности от дебиторской задолженности</w:t>
            </w:r>
          </w:p>
        </w:tc>
        <w:tc>
          <w:tcPr>
            <w:tcW w:w="1176"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655"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r w:rsidR="000D732C" w:rsidTr="000D732C">
        <w:trPr>
          <w:trHeight w:val="300"/>
        </w:trPr>
        <w:tc>
          <w:tcPr>
            <w:tcW w:w="2410" w:type="dxa"/>
            <w:tcBorders>
              <w:top w:val="nil"/>
              <w:left w:val="single" w:sz="4" w:space="0" w:color="auto"/>
              <w:bottom w:val="single" w:sz="4" w:space="0" w:color="auto"/>
              <w:right w:val="single" w:sz="4" w:space="0" w:color="auto"/>
            </w:tcBorders>
            <w:shd w:val="clear" w:color="auto" w:fill="FFFFFF"/>
            <w:vAlign w:val="bottom"/>
            <w:hideMark/>
          </w:tcPr>
          <w:p w:rsidR="000D732C" w:rsidRDefault="000D732C">
            <w:pPr>
              <w:rPr>
                <w:rFonts w:ascii="Calibri" w:hAnsi="Calibri" w:cs="Calibri"/>
                <w:color w:val="000000"/>
              </w:rPr>
            </w:pPr>
            <w:r>
              <w:rPr>
                <w:rFonts w:ascii="Calibri" w:hAnsi="Calibri" w:cs="Calibri"/>
                <w:color w:val="000000"/>
                <w:sz w:val="22"/>
                <w:szCs w:val="22"/>
              </w:rPr>
              <w:t>Доля задолженности от капитала</w:t>
            </w:r>
          </w:p>
        </w:tc>
        <w:tc>
          <w:tcPr>
            <w:tcW w:w="1176" w:type="dxa"/>
            <w:tcBorders>
              <w:top w:val="nil"/>
              <w:left w:val="nil"/>
              <w:bottom w:val="single" w:sz="4" w:space="0" w:color="auto"/>
              <w:right w:val="single" w:sz="4" w:space="0" w:color="auto"/>
            </w:tcBorders>
            <w:shd w:val="clear" w:color="auto" w:fill="FFFFFF"/>
            <w:noWrap/>
            <w:vAlign w:val="bottom"/>
          </w:tcPr>
          <w:p w:rsidR="000D732C" w:rsidRDefault="000D732C">
            <w:pPr>
              <w:jc w:val="center"/>
              <w:rPr>
                <w:rFonts w:ascii="Calibri" w:hAnsi="Calibri" w:cs="Calibri"/>
                <w:color w:val="000000"/>
              </w:rPr>
            </w:pP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238"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gridSpan w:val="2"/>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769"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655"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1191" w:type="dxa"/>
            <w:shd w:val="clear" w:color="auto" w:fill="FFFFFF"/>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r>
    </w:tbl>
    <w:p w:rsidR="000D732C" w:rsidRDefault="000D732C" w:rsidP="000D732C">
      <w:pPr>
        <w:pStyle w:val="HTML"/>
        <w:jc w:val="center"/>
        <w:rPr>
          <w:rFonts w:ascii="Times New Roman" w:hAnsi="Times New Roman" w:cs="Times New Roman"/>
          <w:b/>
          <w:sz w:val="24"/>
          <w:szCs w:val="24"/>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Cs/>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
        <w:t xml:space="preserve"> </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tbl>
      <w:tblPr>
        <w:tblW w:w="16260" w:type="dxa"/>
        <w:tblInd w:w="-709" w:type="dxa"/>
        <w:tblLayout w:type="fixed"/>
        <w:tblLook w:val="00A0" w:firstRow="1" w:lastRow="0" w:firstColumn="1" w:lastColumn="0" w:noHBand="0" w:noVBand="0"/>
      </w:tblPr>
      <w:tblGrid>
        <w:gridCol w:w="831"/>
        <w:gridCol w:w="3983"/>
        <w:gridCol w:w="1494"/>
        <w:gridCol w:w="1498"/>
        <w:gridCol w:w="1565"/>
        <w:gridCol w:w="1063"/>
        <w:gridCol w:w="11"/>
        <w:gridCol w:w="53"/>
        <w:gridCol w:w="1344"/>
        <w:gridCol w:w="15"/>
        <w:gridCol w:w="35"/>
        <w:gridCol w:w="14"/>
        <w:gridCol w:w="990"/>
        <w:gridCol w:w="764"/>
        <w:gridCol w:w="14"/>
        <w:gridCol w:w="639"/>
        <w:gridCol w:w="1704"/>
        <w:gridCol w:w="236"/>
        <w:gridCol w:w="7"/>
      </w:tblGrid>
      <w:tr w:rsidR="000D732C" w:rsidTr="000D732C">
        <w:trPr>
          <w:trHeight w:val="375"/>
        </w:trPr>
        <w:tc>
          <w:tcPr>
            <w:tcW w:w="830" w:type="dxa"/>
            <w:shd w:val="clear" w:color="auto" w:fill="FFFFFF"/>
            <w:noWrap/>
            <w:vAlign w:val="bottom"/>
          </w:tcPr>
          <w:p w:rsidR="000D732C" w:rsidRDefault="000D732C">
            <w:pPr>
              <w:rPr>
                <w:rFonts w:ascii="Calibri" w:hAnsi="Calibri" w:cs="Calibri"/>
                <w:color w:val="000000"/>
                <w:sz w:val="28"/>
                <w:szCs w:val="28"/>
              </w:rPr>
            </w:pPr>
          </w:p>
        </w:tc>
        <w:tc>
          <w:tcPr>
            <w:tcW w:w="3982" w:type="dxa"/>
            <w:noWrap/>
            <w:vAlign w:val="bottom"/>
          </w:tcPr>
          <w:p w:rsidR="000D732C" w:rsidRDefault="000D732C">
            <w:pPr>
              <w:rPr>
                <w:rFonts w:ascii="Calibri" w:hAnsi="Calibri" w:cs="Calibri"/>
                <w:color w:val="000000"/>
                <w:sz w:val="28"/>
                <w:szCs w:val="28"/>
              </w:rPr>
            </w:pPr>
          </w:p>
        </w:tc>
        <w:tc>
          <w:tcPr>
            <w:tcW w:w="1494" w:type="dxa"/>
            <w:noWrap/>
            <w:vAlign w:val="bottom"/>
          </w:tcPr>
          <w:p w:rsidR="000D732C" w:rsidRDefault="000D732C">
            <w:pPr>
              <w:rPr>
                <w:sz w:val="20"/>
                <w:szCs w:val="20"/>
              </w:rPr>
            </w:pPr>
          </w:p>
        </w:tc>
        <w:tc>
          <w:tcPr>
            <w:tcW w:w="1498" w:type="dxa"/>
            <w:noWrap/>
            <w:vAlign w:val="bottom"/>
          </w:tcPr>
          <w:p w:rsidR="000D732C" w:rsidRDefault="000D732C">
            <w:pPr>
              <w:rPr>
                <w:sz w:val="20"/>
                <w:szCs w:val="20"/>
              </w:rPr>
            </w:pPr>
          </w:p>
        </w:tc>
        <w:tc>
          <w:tcPr>
            <w:tcW w:w="1565" w:type="dxa"/>
            <w:noWrap/>
            <w:vAlign w:val="bottom"/>
          </w:tcPr>
          <w:p w:rsidR="000D732C" w:rsidRDefault="000D732C">
            <w:pPr>
              <w:rPr>
                <w:sz w:val="20"/>
                <w:szCs w:val="20"/>
              </w:rPr>
            </w:pPr>
          </w:p>
        </w:tc>
        <w:tc>
          <w:tcPr>
            <w:tcW w:w="1063" w:type="dxa"/>
            <w:noWrap/>
            <w:vAlign w:val="bottom"/>
          </w:tcPr>
          <w:p w:rsidR="000D732C" w:rsidRDefault="000D732C">
            <w:pPr>
              <w:rPr>
                <w:sz w:val="20"/>
                <w:szCs w:val="20"/>
              </w:rPr>
            </w:pPr>
          </w:p>
        </w:tc>
        <w:tc>
          <w:tcPr>
            <w:tcW w:w="1408" w:type="dxa"/>
            <w:gridSpan w:val="3"/>
            <w:noWrap/>
            <w:vAlign w:val="bottom"/>
          </w:tcPr>
          <w:p w:rsidR="000D732C" w:rsidRDefault="000D732C">
            <w:pPr>
              <w:rPr>
                <w:sz w:val="20"/>
                <w:szCs w:val="20"/>
              </w:rPr>
            </w:pPr>
          </w:p>
        </w:tc>
        <w:tc>
          <w:tcPr>
            <w:tcW w:w="1054" w:type="dxa"/>
            <w:gridSpan w:val="4"/>
            <w:noWrap/>
            <w:vAlign w:val="bottom"/>
          </w:tcPr>
          <w:p w:rsidR="000D732C" w:rsidRDefault="000D732C">
            <w:pPr>
              <w:rPr>
                <w:sz w:val="20"/>
                <w:szCs w:val="20"/>
              </w:rPr>
            </w:pPr>
          </w:p>
        </w:tc>
        <w:tc>
          <w:tcPr>
            <w:tcW w:w="1417" w:type="dxa"/>
            <w:gridSpan w:val="3"/>
            <w:noWrap/>
            <w:vAlign w:val="bottom"/>
          </w:tcPr>
          <w:p w:rsidR="000D732C" w:rsidRDefault="000D732C">
            <w:pPr>
              <w:rPr>
                <w:sz w:val="20"/>
                <w:szCs w:val="2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noWrap/>
            <w:vAlign w:val="bottom"/>
          </w:tcPr>
          <w:p w:rsidR="000D732C" w:rsidRDefault="000D732C">
            <w:pPr>
              <w:rPr>
                <w:sz w:val="20"/>
                <w:szCs w:val="20"/>
              </w:rPr>
            </w:pPr>
          </w:p>
        </w:tc>
        <w:tc>
          <w:tcPr>
            <w:tcW w:w="1494" w:type="dxa"/>
            <w:noWrap/>
            <w:vAlign w:val="bottom"/>
          </w:tcPr>
          <w:p w:rsidR="000D732C" w:rsidRDefault="000D732C">
            <w:pPr>
              <w:rPr>
                <w:sz w:val="20"/>
                <w:szCs w:val="20"/>
              </w:rPr>
            </w:pPr>
          </w:p>
        </w:tc>
        <w:tc>
          <w:tcPr>
            <w:tcW w:w="1498" w:type="dxa"/>
            <w:noWrap/>
            <w:vAlign w:val="bottom"/>
          </w:tcPr>
          <w:p w:rsidR="000D732C" w:rsidRDefault="000D732C">
            <w:pPr>
              <w:rPr>
                <w:sz w:val="20"/>
                <w:szCs w:val="20"/>
              </w:rPr>
            </w:pPr>
          </w:p>
        </w:tc>
        <w:tc>
          <w:tcPr>
            <w:tcW w:w="1565" w:type="dxa"/>
            <w:noWrap/>
            <w:vAlign w:val="bottom"/>
          </w:tcPr>
          <w:p w:rsidR="000D732C" w:rsidRDefault="000D732C">
            <w:pPr>
              <w:rPr>
                <w:sz w:val="20"/>
                <w:szCs w:val="20"/>
              </w:rPr>
            </w:pPr>
          </w:p>
        </w:tc>
        <w:tc>
          <w:tcPr>
            <w:tcW w:w="1063" w:type="dxa"/>
            <w:noWrap/>
            <w:vAlign w:val="bottom"/>
          </w:tcPr>
          <w:p w:rsidR="000D732C" w:rsidRDefault="000D732C">
            <w:pPr>
              <w:rPr>
                <w:sz w:val="20"/>
                <w:szCs w:val="20"/>
              </w:rPr>
            </w:pPr>
          </w:p>
        </w:tc>
        <w:tc>
          <w:tcPr>
            <w:tcW w:w="1408" w:type="dxa"/>
            <w:gridSpan w:val="3"/>
            <w:noWrap/>
            <w:vAlign w:val="bottom"/>
          </w:tcPr>
          <w:p w:rsidR="000D732C" w:rsidRDefault="000D732C">
            <w:pPr>
              <w:rPr>
                <w:sz w:val="20"/>
                <w:szCs w:val="20"/>
              </w:rPr>
            </w:pPr>
          </w:p>
        </w:tc>
        <w:tc>
          <w:tcPr>
            <w:tcW w:w="1054" w:type="dxa"/>
            <w:gridSpan w:val="4"/>
            <w:noWrap/>
            <w:vAlign w:val="bottom"/>
          </w:tcPr>
          <w:p w:rsidR="000D732C" w:rsidRDefault="000D732C">
            <w:pPr>
              <w:rPr>
                <w:sz w:val="20"/>
                <w:szCs w:val="20"/>
              </w:rPr>
            </w:pPr>
          </w:p>
        </w:tc>
        <w:tc>
          <w:tcPr>
            <w:tcW w:w="1417" w:type="dxa"/>
            <w:gridSpan w:val="3"/>
            <w:noWrap/>
            <w:vAlign w:val="bottom"/>
          </w:tcPr>
          <w:p w:rsidR="000D732C" w:rsidRDefault="000D732C">
            <w:pPr>
              <w:rPr>
                <w:sz w:val="20"/>
                <w:szCs w:val="2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noWrap/>
            <w:vAlign w:val="bottom"/>
          </w:tcPr>
          <w:p w:rsidR="000D732C" w:rsidRDefault="000D732C">
            <w:pPr>
              <w:rPr>
                <w:sz w:val="20"/>
                <w:szCs w:val="20"/>
              </w:rPr>
            </w:pPr>
          </w:p>
        </w:tc>
        <w:tc>
          <w:tcPr>
            <w:tcW w:w="1494" w:type="dxa"/>
            <w:noWrap/>
            <w:vAlign w:val="bottom"/>
          </w:tcPr>
          <w:p w:rsidR="000D732C" w:rsidRDefault="000D732C">
            <w:pPr>
              <w:rPr>
                <w:sz w:val="20"/>
                <w:szCs w:val="20"/>
              </w:rPr>
            </w:pPr>
          </w:p>
        </w:tc>
        <w:tc>
          <w:tcPr>
            <w:tcW w:w="1498" w:type="dxa"/>
            <w:noWrap/>
            <w:vAlign w:val="bottom"/>
          </w:tcPr>
          <w:p w:rsidR="000D732C" w:rsidRDefault="000D732C">
            <w:pPr>
              <w:rPr>
                <w:sz w:val="20"/>
                <w:szCs w:val="20"/>
              </w:rPr>
            </w:pPr>
          </w:p>
        </w:tc>
        <w:tc>
          <w:tcPr>
            <w:tcW w:w="1565" w:type="dxa"/>
            <w:noWrap/>
            <w:vAlign w:val="bottom"/>
          </w:tcPr>
          <w:p w:rsidR="000D732C" w:rsidRDefault="000D732C">
            <w:pPr>
              <w:rPr>
                <w:sz w:val="20"/>
                <w:szCs w:val="20"/>
              </w:rPr>
            </w:pPr>
          </w:p>
        </w:tc>
        <w:tc>
          <w:tcPr>
            <w:tcW w:w="1063" w:type="dxa"/>
            <w:noWrap/>
            <w:vAlign w:val="bottom"/>
          </w:tcPr>
          <w:p w:rsidR="000D732C" w:rsidRDefault="000D732C">
            <w:pPr>
              <w:rPr>
                <w:sz w:val="20"/>
                <w:szCs w:val="20"/>
              </w:rPr>
            </w:pPr>
          </w:p>
        </w:tc>
        <w:tc>
          <w:tcPr>
            <w:tcW w:w="1408" w:type="dxa"/>
            <w:gridSpan w:val="3"/>
            <w:noWrap/>
            <w:vAlign w:val="bottom"/>
          </w:tcPr>
          <w:p w:rsidR="000D732C" w:rsidRDefault="000D732C">
            <w:pPr>
              <w:rPr>
                <w:sz w:val="20"/>
                <w:szCs w:val="20"/>
              </w:rPr>
            </w:pPr>
          </w:p>
        </w:tc>
        <w:tc>
          <w:tcPr>
            <w:tcW w:w="1054" w:type="dxa"/>
            <w:gridSpan w:val="4"/>
            <w:noWrap/>
            <w:vAlign w:val="bottom"/>
          </w:tcPr>
          <w:p w:rsidR="000D732C" w:rsidRDefault="000D732C">
            <w:pPr>
              <w:rPr>
                <w:sz w:val="20"/>
                <w:szCs w:val="20"/>
              </w:rPr>
            </w:pPr>
          </w:p>
        </w:tc>
        <w:tc>
          <w:tcPr>
            <w:tcW w:w="1417" w:type="dxa"/>
            <w:gridSpan w:val="3"/>
            <w:noWrap/>
            <w:vAlign w:val="bottom"/>
          </w:tcPr>
          <w:p w:rsidR="000D732C" w:rsidRDefault="000D732C">
            <w:pPr>
              <w:rPr>
                <w:sz w:val="20"/>
                <w:szCs w:val="2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r w:rsidR="000D732C" w:rsidTr="000D732C">
        <w:trPr>
          <w:gridAfter w:val="1"/>
          <w:wAfter w:w="7" w:type="dxa"/>
          <w:trHeight w:val="300"/>
        </w:trPr>
        <w:tc>
          <w:tcPr>
            <w:tcW w:w="830" w:type="dxa"/>
            <w:noWrap/>
            <w:vAlign w:val="bottom"/>
          </w:tcPr>
          <w:p w:rsidR="000D732C" w:rsidRDefault="000D732C">
            <w:pPr>
              <w:rPr>
                <w:sz w:val="20"/>
                <w:szCs w:val="20"/>
              </w:rPr>
            </w:pPr>
          </w:p>
        </w:tc>
        <w:tc>
          <w:tcPr>
            <w:tcW w:w="3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Наименование показателя</w:t>
            </w:r>
          </w:p>
        </w:tc>
        <w:tc>
          <w:tcPr>
            <w:tcW w:w="7078" w:type="dxa"/>
            <w:gridSpan w:val="9"/>
            <w:tcBorders>
              <w:top w:val="single" w:sz="4" w:space="0" w:color="auto"/>
              <w:left w:val="nil"/>
              <w:bottom w:val="single" w:sz="4" w:space="0" w:color="auto"/>
              <w:right w:val="single" w:sz="4" w:space="0" w:color="auto"/>
            </w:tcBorders>
            <w:shd w:val="clear" w:color="auto" w:fill="FFFFFF"/>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Значение по балансу</w:t>
            </w:r>
          </w:p>
        </w:tc>
        <w:tc>
          <w:tcPr>
            <w:tcW w:w="1768" w:type="dxa"/>
            <w:gridSpan w:val="3"/>
            <w:tcBorders>
              <w:top w:val="single" w:sz="4" w:space="0" w:color="auto"/>
              <w:left w:val="nil"/>
              <w:bottom w:val="single" w:sz="4" w:space="0" w:color="auto"/>
              <w:right w:val="single" w:sz="4" w:space="0" w:color="auto"/>
            </w:tcBorders>
            <w:shd w:val="clear" w:color="auto" w:fill="FFFFFF"/>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 </w:t>
            </w:r>
          </w:p>
        </w:tc>
        <w:tc>
          <w:tcPr>
            <w:tcW w:w="653" w:type="dxa"/>
            <w:gridSpan w:val="2"/>
            <w:tcBorders>
              <w:top w:val="single" w:sz="4" w:space="0" w:color="auto"/>
              <w:left w:val="nil"/>
              <w:bottom w:val="single" w:sz="4" w:space="0" w:color="auto"/>
              <w:right w:val="single" w:sz="4" w:space="0" w:color="auto"/>
            </w:tcBorders>
            <w:shd w:val="clear" w:color="auto" w:fill="FFFFFF"/>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Нормативное значение</w:t>
            </w:r>
          </w:p>
        </w:tc>
        <w:tc>
          <w:tcPr>
            <w:tcW w:w="1704" w:type="dxa"/>
            <w:noWrap/>
            <w:vAlign w:val="bottom"/>
          </w:tcPr>
          <w:p w:rsidR="000D732C" w:rsidRDefault="000D732C">
            <w:pPr>
              <w:jc w:val="center"/>
              <w:rPr>
                <w:rFonts w:ascii="Calibri" w:hAnsi="Calibri" w:cs="Calibri"/>
                <w:color w:val="000000"/>
              </w:rPr>
            </w:pPr>
          </w:p>
        </w:tc>
        <w:tc>
          <w:tcPr>
            <w:tcW w:w="236" w:type="dxa"/>
            <w:noWrap/>
            <w:vAlign w:val="bottom"/>
          </w:tcPr>
          <w:p w:rsidR="000D732C" w:rsidRDefault="000D732C">
            <w:pPr>
              <w:rPr>
                <w:sz w:val="20"/>
                <w:szCs w:val="20"/>
              </w:rPr>
            </w:pPr>
          </w:p>
        </w:tc>
      </w:tr>
      <w:tr w:rsidR="000D732C" w:rsidTr="000D732C">
        <w:trPr>
          <w:gridAfter w:val="1"/>
          <w:wAfter w:w="7" w:type="dxa"/>
          <w:trHeight w:val="510"/>
        </w:trPr>
        <w:tc>
          <w:tcPr>
            <w:tcW w:w="830" w:type="dxa"/>
            <w:noWrap/>
            <w:vAlign w:val="bottom"/>
          </w:tcPr>
          <w:p w:rsidR="000D732C" w:rsidRDefault="000D732C">
            <w:pPr>
              <w:rPr>
                <w:sz w:val="20"/>
                <w:szCs w:val="20"/>
              </w:rPr>
            </w:pPr>
          </w:p>
        </w:tc>
        <w:tc>
          <w:tcPr>
            <w:tcW w:w="13481" w:type="dxa"/>
            <w:gridSpan w:val="15"/>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D732C" w:rsidRDefault="000D732C">
            <w:pPr>
              <w:jc w:val="center"/>
              <w:rPr>
                <w:rFonts w:ascii="Calibri" w:hAnsi="Calibri" w:cs="Calibri"/>
                <w:b/>
                <w:bCs/>
                <w:color w:val="000000"/>
              </w:rPr>
            </w:pPr>
            <w:r>
              <w:rPr>
                <w:rFonts w:ascii="Calibri" w:hAnsi="Calibri" w:cs="Calibri"/>
                <w:b/>
                <w:bCs/>
                <w:color w:val="000000"/>
              </w:rPr>
              <w:t>1. Расчет коэффициентов ликвидности</w:t>
            </w:r>
          </w:p>
        </w:tc>
        <w:tc>
          <w:tcPr>
            <w:tcW w:w="1704" w:type="dxa"/>
            <w:noWrap/>
            <w:vAlign w:val="bottom"/>
          </w:tcPr>
          <w:p w:rsidR="000D732C" w:rsidRDefault="000D732C">
            <w:pPr>
              <w:jc w:val="center"/>
              <w:rPr>
                <w:rFonts w:ascii="Calibri" w:hAnsi="Calibri" w:cs="Calibri"/>
                <w:b/>
                <w:bCs/>
                <w:color w:val="000000"/>
              </w:rPr>
            </w:pPr>
          </w:p>
        </w:tc>
        <w:tc>
          <w:tcPr>
            <w:tcW w:w="236" w:type="dxa"/>
            <w:noWrap/>
            <w:vAlign w:val="bottom"/>
          </w:tcPr>
          <w:p w:rsidR="000D732C" w:rsidRDefault="000D732C">
            <w:pPr>
              <w:rPr>
                <w:sz w:val="20"/>
                <w:szCs w:val="20"/>
              </w:rPr>
            </w:pPr>
          </w:p>
        </w:tc>
      </w:tr>
      <w:tr w:rsidR="000D732C" w:rsidTr="000D732C">
        <w:trPr>
          <w:trHeight w:val="600"/>
        </w:trPr>
        <w:tc>
          <w:tcPr>
            <w:tcW w:w="830" w:type="dxa"/>
            <w:vAlign w:val="bottom"/>
          </w:tcPr>
          <w:p w:rsidR="000D732C" w:rsidRDefault="000D732C">
            <w:pPr>
              <w:rPr>
                <w:sz w:val="20"/>
                <w:szCs w:val="20"/>
              </w:rPr>
            </w:pPr>
          </w:p>
        </w:tc>
        <w:tc>
          <w:tcPr>
            <w:tcW w:w="3982" w:type="dxa"/>
            <w:tcBorders>
              <w:top w:val="nil"/>
              <w:left w:val="single" w:sz="4" w:space="0" w:color="auto"/>
              <w:bottom w:val="single" w:sz="4" w:space="0" w:color="auto"/>
              <w:right w:val="single" w:sz="4" w:space="0" w:color="auto"/>
            </w:tcBorders>
            <w:shd w:val="clear" w:color="auto" w:fill="D9E1F2"/>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 </w:t>
            </w:r>
          </w:p>
        </w:tc>
        <w:tc>
          <w:tcPr>
            <w:tcW w:w="1494" w:type="dxa"/>
            <w:tcBorders>
              <w:top w:val="nil"/>
              <w:left w:val="nil"/>
              <w:bottom w:val="single" w:sz="4" w:space="0" w:color="auto"/>
              <w:right w:val="single" w:sz="4" w:space="0" w:color="auto"/>
            </w:tcBorders>
            <w:shd w:val="clear" w:color="auto" w:fill="D9E1F2"/>
            <w:vAlign w:val="center"/>
          </w:tcPr>
          <w:p w:rsidR="000D732C" w:rsidRDefault="000D732C">
            <w:pPr>
              <w:jc w:val="center"/>
              <w:rPr>
                <w:rFonts w:ascii="Calibri" w:hAnsi="Calibri" w:cs="Calibri"/>
                <w:color w:val="000000"/>
              </w:rPr>
            </w:pPr>
          </w:p>
        </w:tc>
        <w:tc>
          <w:tcPr>
            <w:tcW w:w="1498" w:type="dxa"/>
            <w:tcBorders>
              <w:top w:val="nil"/>
              <w:left w:val="nil"/>
              <w:bottom w:val="single" w:sz="4" w:space="0" w:color="auto"/>
              <w:right w:val="single" w:sz="4" w:space="0" w:color="auto"/>
            </w:tcBorders>
            <w:shd w:val="clear" w:color="auto" w:fill="D9E1F2"/>
            <w:vAlign w:val="center"/>
          </w:tcPr>
          <w:p w:rsidR="000D732C" w:rsidRDefault="000D732C">
            <w:pPr>
              <w:jc w:val="center"/>
              <w:rPr>
                <w:rFonts w:ascii="Calibri" w:hAnsi="Calibri" w:cs="Calibri"/>
                <w:color w:val="000000"/>
              </w:rPr>
            </w:pPr>
          </w:p>
        </w:tc>
        <w:tc>
          <w:tcPr>
            <w:tcW w:w="1565" w:type="dxa"/>
            <w:tcBorders>
              <w:top w:val="nil"/>
              <w:left w:val="nil"/>
              <w:bottom w:val="single" w:sz="4" w:space="0" w:color="auto"/>
              <w:right w:val="single" w:sz="4" w:space="0" w:color="auto"/>
            </w:tcBorders>
            <w:shd w:val="clear" w:color="auto" w:fill="D9E1F2"/>
            <w:vAlign w:val="center"/>
          </w:tcPr>
          <w:p w:rsidR="000D732C" w:rsidRDefault="000D732C">
            <w:pPr>
              <w:jc w:val="center"/>
              <w:rPr>
                <w:rFonts w:ascii="Calibri" w:hAnsi="Calibri" w:cs="Calibri"/>
                <w:color w:val="000000"/>
              </w:rPr>
            </w:pPr>
          </w:p>
        </w:tc>
        <w:tc>
          <w:tcPr>
            <w:tcW w:w="1063" w:type="dxa"/>
            <w:tcBorders>
              <w:top w:val="nil"/>
              <w:left w:val="nil"/>
              <w:bottom w:val="single" w:sz="4" w:space="0" w:color="auto"/>
              <w:right w:val="single" w:sz="4" w:space="0" w:color="auto"/>
            </w:tcBorders>
            <w:shd w:val="clear" w:color="auto" w:fill="D9E1F2"/>
            <w:vAlign w:val="center"/>
          </w:tcPr>
          <w:p w:rsidR="000D732C" w:rsidRDefault="000D732C">
            <w:pPr>
              <w:jc w:val="center"/>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auto" w:fill="D9E1F2"/>
            <w:vAlign w:val="center"/>
          </w:tcPr>
          <w:p w:rsidR="000D732C" w:rsidRDefault="000D732C">
            <w:pPr>
              <w:jc w:val="center"/>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auto" w:fill="D9E1F2"/>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Изменение показателя</w:t>
            </w:r>
          </w:p>
        </w:tc>
        <w:tc>
          <w:tcPr>
            <w:tcW w:w="1417" w:type="dxa"/>
            <w:gridSpan w:val="3"/>
            <w:tcBorders>
              <w:top w:val="nil"/>
              <w:left w:val="nil"/>
              <w:bottom w:val="single" w:sz="4" w:space="0" w:color="auto"/>
              <w:right w:val="single" w:sz="4" w:space="0" w:color="auto"/>
            </w:tcBorders>
            <w:shd w:val="clear" w:color="auto" w:fill="D9E1F2"/>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 </w:t>
            </w:r>
          </w:p>
        </w:tc>
        <w:tc>
          <w:tcPr>
            <w:tcW w:w="1704" w:type="dxa"/>
            <w:vAlign w:val="bottom"/>
          </w:tcPr>
          <w:p w:rsidR="000D732C" w:rsidRDefault="000D732C">
            <w:pPr>
              <w:jc w:val="center"/>
              <w:rPr>
                <w:rFonts w:ascii="Calibri" w:hAnsi="Calibri" w:cs="Calibri"/>
                <w:color w:val="000000"/>
              </w:rPr>
            </w:pPr>
          </w:p>
        </w:tc>
        <w:tc>
          <w:tcPr>
            <w:tcW w:w="243" w:type="dxa"/>
            <w:gridSpan w:val="2"/>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tcBorders>
              <w:top w:val="nil"/>
              <w:left w:val="single" w:sz="4" w:space="0" w:color="808080"/>
              <w:bottom w:val="single" w:sz="4" w:space="0" w:color="808080"/>
              <w:right w:val="nil"/>
            </w:tcBorders>
            <w:shd w:val="clear" w:color="auto" w:fill="FFFFFF"/>
            <w:vAlign w:val="center"/>
            <w:hideMark/>
          </w:tcPr>
          <w:p w:rsidR="000D732C" w:rsidRDefault="000D732C">
            <w:pPr>
              <w:rPr>
                <w:rFonts w:ascii="Calibri" w:hAnsi="Calibri" w:cs="Calibri"/>
                <w:color w:val="000000"/>
              </w:rPr>
            </w:pPr>
            <w:r>
              <w:rPr>
                <w:rFonts w:ascii="Calibri" w:hAnsi="Calibri" w:cs="Calibri"/>
                <w:color w:val="000000"/>
                <w:sz w:val="22"/>
                <w:szCs w:val="22"/>
              </w:rPr>
              <w:t>Коэффициент текущей ликвидности</w:t>
            </w:r>
          </w:p>
        </w:tc>
        <w:tc>
          <w:tcPr>
            <w:tcW w:w="1494" w:type="dxa"/>
            <w:tcBorders>
              <w:top w:val="nil"/>
              <w:left w:val="single" w:sz="4" w:space="0" w:color="auto"/>
              <w:bottom w:val="single" w:sz="4" w:space="0" w:color="auto"/>
              <w:right w:val="single" w:sz="4" w:space="0" w:color="auto"/>
            </w:tcBorders>
            <w:noWrap/>
            <w:vAlign w:val="bottom"/>
          </w:tcPr>
          <w:p w:rsidR="000D732C" w:rsidRDefault="000D732C">
            <w:pPr>
              <w:jc w:val="right"/>
              <w:rPr>
                <w:rFonts w:ascii="Calibri" w:hAnsi="Calibri" w:cs="Calibri"/>
                <w:color w:val="000000"/>
              </w:rPr>
            </w:pPr>
          </w:p>
        </w:tc>
        <w:tc>
          <w:tcPr>
            <w:tcW w:w="1498" w:type="dxa"/>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color w:val="000000"/>
              </w:rPr>
            </w:pPr>
          </w:p>
        </w:tc>
        <w:tc>
          <w:tcPr>
            <w:tcW w:w="1565" w:type="dxa"/>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color w:val="000000"/>
              </w:rPr>
            </w:pPr>
          </w:p>
        </w:tc>
        <w:tc>
          <w:tcPr>
            <w:tcW w:w="1063" w:type="dxa"/>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color w:val="000000"/>
              </w:rPr>
            </w:pPr>
          </w:p>
        </w:tc>
        <w:tc>
          <w:tcPr>
            <w:tcW w:w="1408" w:type="dxa"/>
            <w:gridSpan w:val="3"/>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color w:val="000000"/>
              </w:rPr>
            </w:pPr>
          </w:p>
        </w:tc>
        <w:tc>
          <w:tcPr>
            <w:tcW w:w="1054" w:type="dxa"/>
            <w:gridSpan w:val="4"/>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color w:val="000000"/>
              </w:rPr>
            </w:pPr>
          </w:p>
        </w:tc>
        <w:tc>
          <w:tcPr>
            <w:tcW w:w="1417" w:type="dxa"/>
            <w:gridSpan w:val="3"/>
            <w:tcBorders>
              <w:top w:val="nil"/>
              <w:left w:val="nil"/>
              <w:bottom w:val="single" w:sz="4" w:space="0" w:color="auto"/>
              <w:right w:val="single" w:sz="4" w:space="0" w:color="auto"/>
            </w:tcBorders>
            <w:noWrap/>
            <w:vAlign w:val="bottom"/>
            <w:hideMark/>
          </w:tcPr>
          <w:p w:rsidR="000D732C" w:rsidRDefault="000D732C">
            <w:pPr>
              <w:jc w:val="center"/>
              <w:rPr>
                <w:rFonts w:ascii="Calibri" w:hAnsi="Calibri" w:cs="Calibri"/>
                <w:color w:val="000000"/>
              </w:rPr>
            </w:pPr>
            <w:r>
              <w:rPr>
                <w:rFonts w:ascii="Calibri" w:hAnsi="Calibri" w:cs="Calibri"/>
                <w:color w:val="000000"/>
                <w:sz w:val="22"/>
                <w:szCs w:val="22"/>
              </w:rPr>
              <w:t>более 1,5</w:t>
            </w:r>
          </w:p>
        </w:tc>
        <w:tc>
          <w:tcPr>
            <w:tcW w:w="1704" w:type="dxa"/>
            <w:noWrap/>
            <w:vAlign w:val="bottom"/>
          </w:tcPr>
          <w:p w:rsidR="000D732C" w:rsidRDefault="000D732C">
            <w:pPr>
              <w:jc w:val="center"/>
              <w:rPr>
                <w:rFonts w:ascii="Calibri" w:hAnsi="Calibri" w:cs="Calibri"/>
                <w:color w:val="00000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tcBorders>
              <w:top w:val="nil"/>
              <w:left w:val="single" w:sz="4" w:space="0" w:color="808080"/>
              <w:bottom w:val="single" w:sz="4" w:space="0" w:color="808080"/>
              <w:right w:val="nil"/>
            </w:tcBorders>
            <w:shd w:val="clear" w:color="auto" w:fill="FFFFFF"/>
            <w:vAlign w:val="center"/>
            <w:hideMark/>
          </w:tcPr>
          <w:p w:rsidR="000D732C" w:rsidRDefault="000D732C">
            <w:pPr>
              <w:rPr>
                <w:rFonts w:ascii="Calibri" w:hAnsi="Calibri" w:cs="Calibri"/>
                <w:color w:val="000000"/>
              </w:rPr>
            </w:pPr>
            <w:r>
              <w:rPr>
                <w:rFonts w:ascii="Calibri" w:hAnsi="Calibri" w:cs="Calibri"/>
                <w:color w:val="000000"/>
                <w:sz w:val="22"/>
                <w:szCs w:val="22"/>
              </w:rPr>
              <w:t>Коэффициент быстрой (срочной) ликвидности</w:t>
            </w:r>
          </w:p>
        </w:tc>
        <w:tc>
          <w:tcPr>
            <w:tcW w:w="1494" w:type="dxa"/>
            <w:tcBorders>
              <w:top w:val="nil"/>
              <w:left w:val="single" w:sz="4" w:space="0" w:color="auto"/>
              <w:bottom w:val="single" w:sz="4" w:space="0" w:color="auto"/>
              <w:right w:val="single" w:sz="4" w:space="0" w:color="auto"/>
            </w:tcBorders>
            <w:noWrap/>
            <w:vAlign w:val="bottom"/>
          </w:tcPr>
          <w:p w:rsidR="000D732C" w:rsidRDefault="000D732C">
            <w:pPr>
              <w:jc w:val="right"/>
              <w:rPr>
                <w:rFonts w:ascii="Calibri" w:hAnsi="Calibri" w:cs="Calibri"/>
                <w:color w:val="000000"/>
              </w:rPr>
            </w:pPr>
          </w:p>
        </w:tc>
        <w:tc>
          <w:tcPr>
            <w:tcW w:w="1498" w:type="dxa"/>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color w:val="000000"/>
              </w:rPr>
            </w:pPr>
          </w:p>
        </w:tc>
        <w:tc>
          <w:tcPr>
            <w:tcW w:w="1565" w:type="dxa"/>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color w:val="000000"/>
              </w:rPr>
            </w:pPr>
          </w:p>
        </w:tc>
        <w:tc>
          <w:tcPr>
            <w:tcW w:w="1063" w:type="dxa"/>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color w:val="000000"/>
              </w:rPr>
            </w:pPr>
          </w:p>
        </w:tc>
        <w:tc>
          <w:tcPr>
            <w:tcW w:w="1408" w:type="dxa"/>
            <w:gridSpan w:val="3"/>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color w:val="000000"/>
              </w:rPr>
            </w:pPr>
          </w:p>
        </w:tc>
        <w:tc>
          <w:tcPr>
            <w:tcW w:w="1054" w:type="dxa"/>
            <w:gridSpan w:val="4"/>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color w:val="000000"/>
              </w:rPr>
            </w:pPr>
          </w:p>
        </w:tc>
        <w:tc>
          <w:tcPr>
            <w:tcW w:w="1417" w:type="dxa"/>
            <w:gridSpan w:val="3"/>
            <w:tcBorders>
              <w:top w:val="nil"/>
              <w:left w:val="nil"/>
              <w:bottom w:val="single" w:sz="4" w:space="0" w:color="auto"/>
              <w:right w:val="single" w:sz="4" w:space="0" w:color="auto"/>
            </w:tcBorders>
            <w:noWrap/>
            <w:vAlign w:val="bottom"/>
            <w:hideMark/>
          </w:tcPr>
          <w:p w:rsidR="000D732C" w:rsidRDefault="000D732C">
            <w:pPr>
              <w:jc w:val="center"/>
              <w:rPr>
                <w:rFonts w:ascii="Calibri" w:hAnsi="Calibri" w:cs="Calibri"/>
                <w:color w:val="000000"/>
              </w:rPr>
            </w:pPr>
            <w:r>
              <w:rPr>
                <w:rFonts w:ascii="Calibri" w:hAnsi="Calibri" w:cs="Calibri"/>
                <w:color w:val="000000"/>
                <w:sz w:val="22"/>
                <w:szCs w:val="22"/>
              </w:rPr>
              <w:t>более 0,8</w:t>
            </w:r>
          </w:p>
        </w:tc>
        <w:tc>
          <w:tcPr>
            <w:tcW w:w="1704" w:type="dxa"/>
            <w:noWrap/>
            <w:vAlign w:val="bottom"/>
          </w:tcPr>
          <w:p w:rsidR="000D732C" w:rsidRDefault="000D732C">
            <w:pPr>
              <w:jc w:val="center"/>
              <w:rPr>
                <w:rFonts w:ascii="Calibri" w:hAnsi="Calibri" w:cs="Calibri"/>
                <w:color w:val="00000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tcBorders>
              <w:top w:val="nil"/>
              <w:left w:val="single" w:sz="4" w:space="0" w:color="808080"/>
              <w:bottom w:val="single" w:sz="4" w:space="0" w:color="808080"/>
              <w:right w:val="nil"/>
            </w:tcBorders>
            <w:shd w:val="clear" w:color="auto" w:fill="FFFFFF"/>
            <w:vAlign w:val="center"/>
            <w:hideMark/>
          </w:tcPr>
          <w:p w:rsidR="000D732C" w:rsidRDefault="000D732C">
            <w:pPr>
              <w:rPr>
                <w:rFonts w:ascii="Calibri" w:hAnsi="Calibri" w:cs="Calibri"/>
                <w:color w:val="000000"/>
              </w:rPr>
            </w:pPr>
            <w:r>
              <w:rPr>
                <w:rFonts w:ascii="Calibri" w:hAnsi="Calibri" w:cs="Calibri"/>
                <w:color w:val="000000"/>
                <w:sz w:val="22"/>
                <w:szCs w:val="22"/>
              </w:rPr>
              <w:t>Коэффициент абсолютной ликвидности</w:t>
            </w:r>
          </w:p>
        </w:tc>
        <w:tc>
          <w:tcPr>
            <w:tcW w:w="1494" w:type="dxa"/>
            <w:tcBorders>
              <w:top w:val="nil"/>
              <w:left w:val="single" w:sz="4" w:space="0" w:color="auto"/>
              <w:bottom w:val="single" w:sz="4" w:space="0" w:color="auto"/>
              <w:right w:val="single" w:sz="4" w:space="0" w:color="auto"/>
            </w:tcBorders>
            <w:noWrap/>
            <w:vAlign w:val="bottom"/>
          </w:tcPr>
          <w:p w:rsidR="000D732C" w:rsidRDefault="000D732C">
            <w:pPr>
              <w:jc w:val="right"/>
              <w:rPr>
                <w:rFonts w:ascii="Calibri" w:hAnsi="Calibri" w:cs="Calibri"/>
                <w:color w:val="000000"/>
              </w:rPr>
            </w:pPr>
          </w:p>
        </w:tc>
        <w:tc>
          <w:tcPr>
            <w:tcW w:w="1498" w:type="dxa"/>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color w:val="000000"/>
              </w:rPr>
            </w:pPr>
          </w:p>
        </w:tc>
        <w:tc>
          <w:tcPr>
            <w:tcW w:w="1565" w:type="dxa"/>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color w:val="000000"/>
              </w:rPr>
            </w:pPr>
          </w:p>
        </w:tc>
        <w:tc>
          <w:tcPr>
            <w:tcW w:w="1063" w:type="dxa"/>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color w:val="000000"/>
              </w:rPr>
            </w:pPr>
          </w:p>
        </w:tc>
        <w:tc>
          <w:tcPr>
            <w:tcW w:w="1408" w:type="dxa"/>
            <w:gridSpan w:val="3"/>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color w:val="000000"/>
              </w:rPr>
            </w:pPr>
          </w:p>
        </w:tc>
        <w:tc>
          <w:tcPr>
            <w:tcW w:w="1054" w:type="dxa"/>
            <w:gridSpan w:val="4"/>
            <w:tcBorders>
              <w:top w:val="nil"/>
              <w:left w:val="nil"/>
              <w:bottom w:val="single" w:sz="4" w:space="0" w:color="auto"/>
              <w:right w:val="single" w:sz="4" w:space="0" w:color="auto"/>
            </w:tcBorders>
            <w:noWrap/>
            <w:vAlign w:val="bottom"/>
          </w:tcPr>
          <w:p w:rsidR="000D732C" w:rsidRDefault="000D732C">
            <w:pPr>
              <w:jc w:val="right"/>
              <w:rPr>
                <w:rFonts w:ascii="Calibri" w:hAnsi="Calibri" w:cs="Calibri"/>
                <w:color w:val="000000"/>
              </w:rPr>
            </w:pPr>
          </w:p>
        </w:tc>
        <w:tc>
          <w:tcPr>
            <w:tcW w:w="1417" w:type="dxa"/>
            <w:gridSpan w:val="3"/>
            <w:tcBorders>
              <w:top w:val="nil"/>
              <w:left w:val="nil"/>
              <w:bottom w:val="single" w:sz="4" w:space="0" w:color="auto"/>
              <w:right w:val="single" w:sz="4" w:space="0" w:color="auto"/>
            </w:tcBorders>
            <w:noWrap/>
            <w:vAlign w:val="bottom"/>
            <w:hideMark/>
          </w:tcPr>
          <w:p w:rsidR="000D732C" w:rsidRDefault="000D732C">
            <w:pPr>
              <w:jc w:val="center"/>
              <w:rPr>
                <w:rFonts w:ascii="Calibri" w:hAnsi="Calibri" w:cs="Calibri"/>
                <w:color w:val="000000"/>
              </w:rPr>
            </w:pPr>
            <w:r>
              <w:rPr>
                <w:rFonts w:ascii="Calibri" w:hAnsi="Calibri" w:cs="Calibri"/>
                <w:color w:val="000000"/>
                <w:sz w:val="22"/>
                <w:szCs w:val="22"/>
              </w:rPr>
              <w:t>более 0,2</w:t>
            </w:r>
          </w:p>
        </w:tc>
        <w:tc>
          <w:tcPr>
            <w:tcW w:w="1704" w:type="dxa"/>
            <w:noWrap/>
            <w:vAlign w:val="bottom"/>
          </w:tcPr>
          <w:p w:rsidR="000D732C" w:rsidRDefault="000D732C">
            <w:pPr>
              <w:jc w:val="center"/>
              <w:rPr>
                <w:rFonts w:ascii="Calibri" w:hAnsi="Calibri" w:cs="Calibri"/>
                <w:color w:val="00000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noWrap/>
            <w:vAlign w:val="bottom"/>
          </w:tcPr>
          <w:p w:rsidR="000D732C" w:rsidRDefault="000D732C">
            <w:pPr>
              <w:rPr>
                <w:sz w:val="20"/>
                <w:szCs w:val="20"/>
              </w:rPr>
            </w:pPr>
          </w:p>
        </w:tc>
        <w:tc>
          <w:tcPr>
            <w:tcW w:w="1494" w:type="dxa"/>
            <w:noWrap/>
            <w:vAlign w:val="bottom"/>
          </w:tcPr>
          <w:p w:rsidR="000D732C" w:rsidRDefault="000D732C">
            <w:pPr>
              <w:rPr>
                <w:sz w:val="20"/>
                <w:szCs w:val="20"/>
              </w:rPr>
            </w:pPr>
          </w:p>
        </w:tc>
        <w:tc>
          <w:tcPr>
            <w:tcW w:w="1498" w:type="dxa"/>
            <w:noWrap/>
            <w:vAlign w:val="bottom"/>
          </w:tcPr>
          <w:p w:rsidR="000D732C" w:rsidRDefault="000D732C">
            <w:pPr>
              <w:rPr>
                <w:sz w:val="20"/>
                <w:szCs w:val="20"/>
              </w:rPr>
            </w:pPr>
          </w:p>
        </w:tc>
        <w:tc>
          <w:tcPr>
            <w:tcW w:w="1565" w:type="dxa"/>
            <w:noWrap/>
            <w:vAlign w:val="bottom"/>
          </w:tcPr>
          <w:p w:rsidR="000D732C" w:rsidRDefault="000D732C">
            <w:pPr>
              <w:rPr>
                <w:sz w:val="20"/>
                <w:szCs w:val="20"/>
              </w:rPr>
            </w:pPr>
          </w:p>
        </w:tc>
        <w:tc>
          <w:tcPr>
            <w:tcW w:w="1063" w:type="dxa"/>
            <w:noWrap/>
            <w:vAlign w:val="bottom"/>
          </w:tcPr>
          <w:p w:rsidR="000D732C" w:rsidRDefault="000D732C">
            <w:pPr>
              <w:rPr>
                <w:sz w:val="20"/>
                <w:szCs w:val="20"/>
              </w:rPr>
            </w:pPr>
          </w:p>
        </w:tc>
        <w:tc>
          <w:tcPr>
            <w:tcW w:w="1408" w:type="dxa"/>
            <w:gridSpan w:val="3"/>
            <w:noWrap/>
            <w:vAlign w:val="bottom"/>
          </w:tcPr>
          <w:p w:rsidR="000D732C" w:rsidRDefault="000D732C">
            <w:pPr>
              <w:rPr>
                <w:sz w:val="20"/>
                <w:szCs w:val="20"/>
              </w:rPr>
            </w:pPr>
          </w:p>
        </w:tc>
        <w:tc>
          <w:tcPr>
            <w:tcW w:w="1054" w:type="dxa"/>
            <w:gridSpan w:val="4"/>
            <w:noWrap/>
            <w:vAlign w:val="bottom"/>
          </w:tcPr>
          <w:p w:rsidR="000D732C" w:rsidRDefault="000D732C">
            <w:pPr>
              <w:rPr>
                <w:sz w:val="20"/>
                <w:szCs w:val="20"/>
              </w:rPr>
            </w:pPr>
          </w:p>
        </w:tc>
        <w:tc>
          <w:tcPr>
            <w:tcW w:w="1417" w:type="dxa"/>
            <w:gridSpan w:val="3"/>
            <w:noWrap/>
            <w:vAlign w:val="bottom"/>
          </w:tcPr>
          <w:p w:rsidR="000D732C" w:rsidRDefault="000D732C">
            <w:pPr>
              <w:rPr>
                <w:sz w:val="20"/>
                <w:szCs w:val="20"/>
              </w:rPr>
            </w:pPr>
          </w:p>
        </w:tc>
        <w:tc>
          <w:tcPr>
            <w:tcW w:w="1704" w:type="dxa"/>
            <w:noWrap/>
            <w:vAlign w:val="bottom"/>
          </w:tcPr>
          <w:p w:rsidR="000D732C" w:rsidRDefault="000D732C">
            <w:pPr>
              <w:jc w:val="center"/>
              <w:rPr>
                <w:sz w:val="20"/>
                <w:szCs w:val="20"/>
              </w:rPr>
            </w:pPr>
          </w:p>
        </w:tc>
        <w:tc>
          <w:tcPr>
            <w:tcW w:w="243" w:type="dxa"/>
            <w:gridSpan w:val="2"/>
            <w:noWrap/>
            <w:vAlign w:val="bottom"/>
          </w:tcPr>
          <w:p w:rsidR="000D732C" w:rsidRDefault="000D732C">
            <w:pPr>
              <w:rPr>
                <w:sz w:val="20"/>
                <w:szCs w:val="20"/>
              </w:rPr>
            </w:pPr>
          </w:p>
        </w:tc>
      </w:tr>
      <w:tr w:rsidR="000D732C" w:rsidTr="000D732C">
        <w:trPr>
          <w:trHeight w:val="510"/>
        </w:trPr>
        <w:tc>
          <w:tcPr>
            <w:tcW w:w="830" w:type="dxa"/>
            <w:noWrap/>
            <w:vAlign w:val="bottom"/>
          </w:tcPr>
          <w:p w:rsidR="000D732C" w:rsidRDefault="000D732C">
            <w:pPr>
              <w:rPr>
                <w:sz w:val="20"/>
                <w:szCs w:val="20"/>
              </w:rPr>
            </w:pPr>
          </w:p>
        </w:tc>
        <w:tc>
          <w:tcPr>
            <w:tcW w:w="3982" w:type="dxa"/>
            <w:noWrap/>
            <w:vAlign w:val="bottom"/>
          </w:tcPr>
          <w:p w:rsidR="000D732C" w:rsidRDefault="000D732C">
            <w:pPr>
              <w:rPr>
                <w:sz w:val="20"/>
                <w:szCs w:val="20"/>
              </w:rPr>
            </w:pPr>
          </w:p>
        </w:tc>
        <w:tc>
          <w:tcPr>
            <w:tcW w:w="1494" w:type="dxa"/>
            <w:noWrap/>
            <w:vAlign w:val="bottom"/>
          </w:tcPr>
          <w:p w:rsidR="000D732C" w:rsidRDefault="000D732C">
            <w:pPr>
              <w:rPr>
                <w:sz w:val="20"/>
                <w:szCs w:val="20"/>
              </w:rPr>
            </w:pPr>
          </w:p>
        </w:tc>
        <w:tc>
          <w:tcPr>
            <w:tcW w:w="1498" w:type="dxa"/>
            <w:noWrap/>
            <w:vAlign w:val="bottom"/>
          </w:tcPr>
          <w:p w:rsidR="000D732C" w:rsidRDefault="000D732C">
            <w:pPr>
              <w:rPr>
                <w:sz w:val="20"/>
                <w:szCs w:val="20"/>
              </w:rPr>
            </w:pPr>
          </w:p>
        </w:tc>
        <w:tc>
          <w:tcPr>
            <w:tcW w:w="1565" w:type="dxa"/>
            <w:noWrap/>
            <w:vAlign w:val="bottom"/>
          </w:tcPr>
          <w:p w:rsidR="000D732C" w:rsidRDefault="000D732C">
            <w:pPr>
              <w:rPr>
                <w:sz w:val="20"/>
                <w:szCs w:val="20"/>
              </w:rPr>
            </w:pPr>
          </w:p>
        </w:tc>
        <w:tc>
          <w:tcPr>
            <w:tcW w:w="1063" w:type="dxa"/>
            <w:noWrap/>
            <w:vAlign w:val="bottom"/>
          </w:tcPr>
          <w:p w:rsidR="000D732C" w:rsidRDefault="000D732C">
            <w:pPr>
              <w:rPr>
                <w:sz w:val="20"/>
                <w:szCs w:val="20"/>
              </w:rPr>
            </w:pPr>
          </w:p>
        </w:tc>
        <w:tc>
          <w:tcPr>
            <w:tcW w:w="1408" w:type="dxa"/>
            <w:gridSpan w:val="3"/>
            <w:noWrap/>
            <w:vAlign w:val="bottom"/>
          </w:tcPr>
          <w:p w:rsidR="000D732C" w:rsidRDefault="000D732C">
            <w:pPr>
              <w:rPr>
                <w:sz w:val="20"/>
                <w:szCs w:val="20"/>
              </w:rPr>
            </w:pPr>
          </w:p>
        </w:tc>
        <w:tc>
          <w:tcPr>
            <w:tcW w:w="1054" w:type="dxa"/>
            <w:gridSpan w:val="4"/>
            <w:noWrap/>
            <w:vAlign w:val="bottom"/>
          </w:tcPr>
          <w:p w:rsidR="000D732C" w:rsidRDefault="000D732C">
            <w:pPr>
              <w:rPr>
                <w:sz w:val="20"/>
                <w:szCs w:val="20"/>
              </w:rPr>
            </w:pPr>
          </w:p>
        </w:tc>
        <w:tc>
          <w:tcPr>
            <w:tcW w:w="1417" w:type="dxa"/>
            <w:gridSpan w:val="3"/>
            <w:noWrap/>
            <w:vAlign w:val="bottom"/>
          </w:tcPr>
          <w:p w:rsidR="000D732C" w:rsidRDefault="000D732C">
            <w:pPr>
              <w:rPr>
                <w:sz w:val="20"/>
                <w:szCs w:val="2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r w:rsidR="000D732C" w:rsidTr="000D732C">
        <w:trPr>
          <w:trHeight w:val="765"/>
        </w:trPr>
        <w:tc>
          <w:tcPr>
            <w:tcW w:w="830" w:type="dxa"/>
            <w:noWrap/>
            <w:vAlign w:val="bottom"/>
          </w:tcPr>
          <w:p w:rsidR="000D732C" w:rsidRDefault="000D732C">
            <w:pPr>
              <w:rPr>
                <w:sz w:val="20"/>
                <w:szCs w:val="20"/>
              </w:rPr>
            </w:pPr>
          </w:p>
        </w:tc>
        <w:tc>
          <w:tcPr>
            <w:tcW w:w="3982" w:type="dxa"/>
            <w:noWrap/>
            <w:vAlign w:val="bottom"/>
          </w:tcPr>
          <w:p w:rsidR="000D732C" w:rsidRDefault="000D732C">
            <w:pPr>
              <w:rPr>
                <w:sz w:val="20"/>
                <w:szCs w:val="20"/>
              </w:rPr>
            </w:pPr>
          </w:p>
        </w:tc>
        <w:tc>
          <w:tcPr>
            <w:tcW w:w="1494" w:type="dxa"/>
            <w:noWrap/>
            <w:vAlign w:val="bottom"/>
          </w:tcPr>
          <w:p w:rsidR="000D732C" w:rsidRDefault="000D732C">
            <w:pPr>
              <w:rPr>
                <w:sz w:val="20"/>
                <w:szCs w:val="20"/>
              </w:rPr>
            </w:pPr>
          </w:p>
        </w:tc>
        <w:tc>
          <w:tcPr>
            <w:tcW w:w="1498" w:type="dxa"/>
            <w:noWrap/>
            <w:vAlign w:val="bottom"/>
          </w:tcPr>
          <w:p w:rsidR="000D732C" w:rsidRDefault="000D732C">
            <w:pPr>
              <w:rPr>
                <w:sz w:val="20"/>
                <w:szCs w:val="20"/>
              </w:rPr>
            </w:pPr>
          </w:p>
        </w:tc>
        <w:tc>
          <w:tcPr>
            <w:tcW w:w="1565" w:type="dxa"/>
            <w:noWrap/>
            <w:vAlign w:val="bottom"/>
          </w:tcPr>
          <w:p w:rsidR="000D732C" w:rsidRDefault="000D732C">
            <w:pPr>
              <w:rPr>
                <w:sz w:val="20"/>
                <w:szCs w:val="20"/>
              </w:rPr>
            </w:pPr>
          </w:p>
        </w:tc>
        <w:tc>
          <w:tcPr>
            <w:tcW w:w="1063" w:type="dxa"/>
            <w:noWrap/>
            <w:vAlign w:val="bottom"/>
          </w:tcPr>
          <w:p w:rsidR="000D732C" w:rsidRDefault="000D732C">
            <w:pPr>
              <w:rPr>
                <w:sz w:val="20"/>
                <w:szCs w:val="20"/>
              </w:rPr>
            </w:pPr>
          </w:p>
        </w:tc>
        <w:tc>
          <w:tcPr>
            <w:tcW w:w="1408" w:type="dxa"/>
            <w:gridSpan w:val="3"/>
            <w:noWrap/>
            <w:vAlign w:val="bottom"/>
          </w:tcPr>
          <w:p w:rsidR="000D732C" w:rsidRDefault="000D732C">
            <w:pPr>
              <w:rPr>
                <w:sz w:val="20"/>
                <w:szCs w:val="20"/>
              </w:rPr>
            </w:pPr>
          </w:p>
        </w:tc>
        <w:tc>
          <w:tcPr>
            <w:tcW w:w="1054" w:type="dxa"/>
            <w:gridSpan w:val="4"/>
            <w:noWrap/>
            <w:vAlign w:val="bottom"/>
          </w:tcPr>
          <w:p w:rsidR="000D732C" w:rsidRDefault="000D732C">
            <w:pPr>
              <w:rPr>
                <w:sz w:val="20"/>
                <w:szCs w:val="20"/>
              </w:rPr>
            </w:pPr>
          </w:p>
        </w:tc>
        <w:tc>
          <w:tcPr>
            <w:tcW w:w="1417" w:type="dxa"/>
            <w:gridSpan w:val="3"/>
            <w:noWrap/>
            <w:vAlign w:val="bottom"/>
          </w:tcPr>
          <w:p w:rsidR="000D732C" w:rsidRDefault="000D732C">
            <w:pPr>
              <w:rPr>
                <w:sz w:val="20"/>
                <w:szCs w:val="2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r w:rsidR="000D732C" w:rsidTr="000D732C">
        <w:trPr>
          <w:gridAfter w:val="2"/>
          <w:wAfter w:w="243" w:type="dxa"/>
          <w:trHeight w:val="300"/>
        </w:trPr>
        <w:tc>
          <w:tcPr>
            <w:tcW w:w="830" w:type="dxa"/>
            <w:noWrap/>
            <w:vAlign w:val="bottom"/>
          </w:tcPr>
          <w:p w:rsidR="000D732C" w:rsidRDefault="000D732C">
            <w:pPr>
              <w:rPr>
                <w:sz w:val="20"/>
                <w:szCs w:val="20"/>
              </w:rPr>
            </w:pPr>
          </w:p>
        </w:tc>
        <w:tc>
          <w:tcPr>
            <w:tcW w:w="3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Наименование показателя</w:t>
            </w:r>
          </w:p>
        </w:tc>
        <w:tc>
          <w:tcPr>
            <w:tcW w:w="7078" w:type="dxa"/>
            <w:gridSpan w:val="9"/>
            <w:tcBorders>
              <w:top w:val="single" w:sz="4" w:space="0" w:color="auto"/>
              <w:left w:val="nil"/>
              <w:bottom w:val="single" w:sz="4" w:space="0" w:color="auto"/>
              <w:right w:val="single" w:sz="4" w:space="0" w:color="auto"/>
            </w:tcBorders>
            <w:shd w:val="clear" w:color="auto" w:fill="FFFFFF"/>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Значения</w:t>
            </w:r>
          </w:p>
        </w:tc>
        <w:tc>
          <w:tcPr>
            <w:tcW w:w="1768" w:type="dxa"/>
            <w:gridSpan w:val="3"/>
            <w:tcBorders>
              <w:top w:val="single" w:sz="4" w:space="0" w:color="auto"/>
              <w:left w:val="nil"/>
              <w:bottom w:val="single" w:sz="4" w:space="0" w:color="auto"/>
              <w:right w:val="single" w:sz="4" w:space="0" w:color="auto"/>
            </w:tcBorders>
            <w:shd w:val="clear" w:color="auto" w:fill="FFFFFF"/>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 </w:t>
            </w:r>
          </w:p>
        </w:tc>
        <w:tc>
          <w:tcPr>
            <w:tcW w:w="2357" w:type="dxa"/>
            <w:gridSpan w:val="3"/>
            <w:tcBorders>
              <w:top w:val="single" w:sz="4" w:space="0" w:color="auto"/>
              <w:left w:val="nil"/>
              <w:bottom w:val="single" w:sz="4" w:space="0" w:color="auto"/>
              <w:right w:val="single" w:sz="4" w:space="0" w:color="auto"/>
            </w:tcBorders>
            <w:shd w:val="clear" w:color="auto" w:fill="FFFFFF"/>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Нормативное значение</w:t>
            </w:r>
          </w:p>
        </w:tc>
      </w:tr>
      <w:tr w:rsidR="000D732C" w:rsidTr="000D732C">
        <w:trPr>
          <w:gridAfter w:val="2"/>
          <w:wAfter w:w="243" w:type="dxa"/>
          <w:trHeight w:val="510"/>
        </w:trPr>
        <w:tc>
          <w:tcPr>
            <w:tcW w:w="830" w:type="dxa"/>
            <w:noWrap/>
            <w:vAlign w:val="bottom"/>
          </w:tcPr>
          <w:p w:rsidR="000D732C" w:rsidRDefault="000D732C">
            <w:pPr>
              <w:jc w:val="center"/>
              <w:rPr>
                <w:rFonts w:ascii="Calibri" w:hAnsi="Calibri" w:cs="Calibri"/>
                <w:color w:val="000000"/>
              </w:rPr>
            </w:pPr>
          </w:p>
        </w:tc>
        <w:tc>
          <w:tcPr>
            <w:tcW w:w="15185" w:type="dxa"/>
            <w:gridSpan w:val="16"/>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D732C" w:rsidRDefault="000D732C">
            <w:pPr>
              <w:jc w:val="center"/>
              <w:rPr>
                <w:rFonts w:ascii="Calibri" w:hAnsi="Calibri" w:cs="Calibri"/>
                <w:b/>
                <w:bCs/>
                <w:color w:val="000000"/>
              </w:rPr>
            </w:pPr>
            <w:r>
              <w:rPr>
                <w:rFonts w:ascii="Calibri" w:hAnsi="Calibri" w:cs="Calibri"/>
                <w:b/>
                <w:bCs/>
                <w:color w:val="000000"/>
              </w:rPr>
              <w:t>2. Основные показатели финансовой устойчивости организации</w:t>
            </w:r>
          </w:p>
        </w:tc>
      </w:tr>
      <w:tr w:rsidR="000D732C" w:rsidTr="000D732C">
        <w:trPr>
          <w:gridAfter w:val="2"/>
          <w:wAfter w:w="243" w:type="dxa"/>
          <w:trHeight w:val="600"/>
        </w:trPr>
        <w:tc>
          <w:tcPr>
            <w:tcW w:w="830" w:type="dxa"/>
            <w:noWrap/>
            <w:vAlign w:val="bottom"/>
          </w:tcPr>
          <w:p w:rsidR="000D732C" w:rsidRDefault="000D732C">
            <w:pPr>
              <w:jc w:val="center"/>
              <w:rPr>
                <w:rFonts w:ascii="Calibri" w:hAnsi="Calibri" w:cs="Calibri"/>
                <w:b/>
                <w:bCs/>
                <w:color w:val="000000"/>
              </w:rPr>
            </w:pPr>
          </w:p>
        </w:tc>
        <w:tc>
          <w:tcPr>
            <w:tcW w:w="3982" w:type="dxa"/>
            <w:tcBorders>
              <w:top w:val="nil"/>
              <w:left w:val="single" w:sz="4" w:space="0" w:color="auto"/>
              <w:bottom w:val="single" w:sz="4" w:space="0" w:color="auto"/>
              <w:right w:val="single" w:sz="4" w:space="0" w:color="auto"/>
            </w:tcBorders>
            <w:shd w:val="clear" w:color="auto" w:fill="D9E1F2"/>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 </w:t>
            </w:r>
          </w:p>
        </w:tc>
        <w:tc>
          <w:tcPr>
            <w:tcW w:w="1494" w:type="dxa"/>
            <w:tcBorders>
              <w:top w:val="nil"/>
              <w:left w:val="nil"/>
              <w:bottom w:val="single" w:sz="4" w:space="0" w:color="auto"/>
              <w:right w:val="single" w:sz="4" w:space="0" w:color="auto"/>
            </w:tcBorders>
            <w:shd w:val="clear" w:color="auto" w:fill="D9E1F2"/>
            <w:vAlign w:val="center"/>
          </w:tcPr>
          <w:p w:rsidR="000D732C" w:rsidRDefault="000D732C">
            <w:pPr>
              <w:jc w:val="center"/>
              <w:rPr>
                <w:rFonts w:ascii="Calibri" w:hAnsi="Calibri" w:cs="Calibri"/>
                <w:color w:val="000000"/>
              </w:rPr>
            </w:pPr>
          </w:p>
        </w:tc>
        <w:tc>
          <w:tcPr>
            <w:tcW w:w="1498" w:type="dxa"/>
            <w:tcBorders>
              <w:top w:val="nil"/>
              <w:left w:val="nil"/>
              <w:bottom w:val="single" w:sz="4" w:space="0" w:color="auto"/>
              <w:right w:val="single" w:sz="4" w:space="0" w:color="auto"/>
            </w:tcBorders>
            <w:shd w:val="clear" w:color="auto" w:fill="D9E1F2"/>
            <w:vAlign w:val="center"/>
          </w:tcPr>
          <w:p w:rsidR="000D732C" w:rsidRDefault="000D732C">
            <w:pPr>
              <w:jc w:val="center"/>
              <w:rPr>
                <w:rFonts w:ascii="Calibri" w:hAnsi="Calibri" w:cs="Calibri"/>
                <w:color w:val="000000"/>
              </w:rPr>
            </w:pPr>
          </w:p>
        </w:tc>
        <w:tc>
          <w:tcPr>
            <w:tcW w:w="1565" w:type="dxa"/>
            <w:tcBorders>
              <w:top w:val="nil"/>
              <w:left w:val="nil"/>
              <w:bottom w:val="single" w:sz="4" w:space="0" w:color="auto"/>
              <w:right w:val="single" w:sz="4" w:space="0" w:color="auto"/>
            </w:tcBorders>
            <w:shd w:val="clear" w:color="auto" w:fill="D9E1F2"/>
            <w:vAlign w:val="center"/>
          </w:tcPr>
          <w:p w:rsidR="000D732C" w:rsidRDefault="000D732C">
            <w:pPr>
              <w:jc w:val="center"/>
              <w:rPr>
                <w:rFonts w:ascii="Calibri" w:hAnsi="Calibri" w:cs="Calibri"/>
                <w:color w:val="000000"/>
              </w:rPr>
            </w:pPr>
          </w:p>
        </w:tc>
        <w:tc>
          <w:tcPr>
            <w:tcW w:w="1063" w:type="dxa"/>
            <w:tcBorders>
              <w:top w:val="nil"/>
              <w:left w:val="nil"/>
              <w:bottom w:val="single" w:sz="4" w:space="0" w:color="auto"/>
              <w:right w:val="single" w:sz="4" w:space="0" w:color="auto"/>
            </w:tcBorders>
            <w:shd w:val="clear" w:color="auto" w:fill="D9E1F2"/>
            <w:vAlign w:val="center"/>
          </w:tcPr>
          <w:p w:rsidR="000D732C" w:rsidRDefault="000D732C">
            <w:pPr>
              <w:jc w:val="center"/>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auto" w:fill="D9E1F2"/>
            <w:vAlign w:val="center"/>
          </w:tcPr>
          <w:p w:rsidR="000D732C" w:rsidRDefault="000D732C">
            <w:pPr>
              <w:jc w:val="center"/>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auto" w:fill="D9E1F2"/>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Изменение показателя</w:t>
            </w:r>
          </w:p>
        </w:tc>
        <w:tc>
          <w:tcPr>
            <w:tcW w:w="3121" w:type="dxa"/>
            <w:gridSpan w:val="4"/>
            <w:tcBorders>
              <w:top w:val="single" w:sz="4" w:space="0" w:color="auto"/>
              <w:left w:val="nil"/>
              <w:bottom w:val="single" w:sz="4" w:space="0" w:color="auto"/>
              <w:right w:val="single" w:sz="4" w:space="0" w:color="auto"/>
            </w:tcBorders>
            <w:shd w:val="clear" w:color="auto" w:fill="D9E1F2"/>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 </w:t>
            </w:r>
          </w:p>
        </w:tc>
      </w:tr>
      <w:tr w:rsidR="000D732C" w:rsidTr="000D732C">
        <w:trPr>
          <w:gridAfter w:val="2"/>
          <w:wAfter w:w="243" w:type="dxa"/>
          <w:trHeight w:val="600"/>
        </w:trPr>
        <w:tc>
          <w:tcPr>
            <w:tcW w:w="830" w:type="dxa"/>
            <w:noWrap/>
            <w:vAlign w:val="bottom"/>
          </w:tcPr>
          <w:p w:rsidR="000D732C" w:rsidRDefault="000D732C">
            <w:pPr>
              <w:jc w:val="center"/>
              <w:rPr>
                <w:rFonts w:ascii="Calibri" w:hAnsi="Calibri" w:cs="Calibri"/>
                <w:color w:val="000000"/>
              </w:rPr>
            </w:pPr>
          </w:p>
        </w:tc>
        <w:tc>
          <w:tcPr>
            <w:tcW w:w="3982" w:type="dxa"/>
            <w:tcBorders>
              <w:top w:val="nil"/>
              <w:left w:val="single" w:sz="4" w:space="0" w:color="auto"/>
              <w:bottom w:val="single" w:sz="4" w:space="0" w:color="auto"/>
              <w:right w:val="single" w:sz="4" w:space="0" w:color="auto"/>
            </w:tcBorders>
            <w:hideMark/>
          </w:tcPr>
          <w:p w:rsidR="000D732C" w:rsidRDefault="000D732C">
            <w:pPr>
              <w:rPr>
                <w:rFonts w:ascii="Arial" w:hAnsi="Arial" w:cs="Arial"/>
                <w:color w:val="000000"/>
                <w:sz w:val="20"/>
                <w:szCs w:val="20"/>
              </w:rPr>
            </w:pPr>
            <w:r>
              <w:rPr>
                <w:rFonts w:ascii="Arial" w:hAnsi="Arial" w:cs="Arial"/>
                <w:color w:val="000000"/>
                <w:sz w:val="20"/>
                <w:szCs w:val="20"/>
              </w:rPr>
              <w:t>1. Коэффициент автономии</w:t>
            </w:r>
          </w:p>
        </w:tc>
        <w:tc>
          <w:tcPr>
            <w:tcW w:w="1494"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498"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565"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063"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3121" w:type="dxa"/>
            <w:gridSpan w:val="4"/>
            <w:tcBorders>
              <w:top w:val="single" w:sz="4" w:space="0" w:color="auto"/>
              <w:left w:val="nil"/>
              <w:bottom w:val="single" w:sz="4" w:space="0" w:color="auto"/>
              <w:right w:val="single" w:sz="4" w:space="0" w:color="auto"/>
            </w:tcBorders>
            <w:hideMark/>
          </w:tcPr>
          <w:p w:rsidR="000D732C" w:rsidRDefault="000D732C">
            <w:pPr>
              <w:jc w:val="center"/>
              <w:rPr>
                <w:rFonts w:ascii="Arial" w:hAnsi="Arial" w:cs="Arial"/>
                <w:color w:val="000000"/>
                <w:sz w:val="20"/>
                <w:szCs w:val="20"/>
              </w:rPr>
            </w:pPr>
            <w:r>
              <w:rPr>
                <w:rFonts w:ascii="Arial" w:hAnsi="Arial" w:cs="Arial"/>
                <w:color w:val="000000"/>
                <w:sz w:val="20"/>
                <w:szCs w:val="20"/>
              </w:rPr>
              <w:t>Отношение собственного капитала к общей сумме капитала. Нормальное значение: 0,4 и более (оптимальное 0,5-0,7).</w:t>
            </w:r>
          </w:p>
        </w:tc>
      </w:tr>
      <w:tr w:rsidR="000D732C" w:rsidTr="000D732C">
        <w:trPr>
          <w:gridAfter w:val="2"/>
          <w:wAfter w:w="243" w:type="dxa"/>
          <w:trHeight w:val="600"/>
        </w:trPr>
        <w:tc>
          <w:tcPr>
            <w:tcW w:w="830" w:type="dxa"/>
            <w:noWrap/>
            <w:vAlign w:val="bottom"/>
          </w:tcPr>
          <w:p w:rsidR="000D732C" w:rsidRDefault="000D732C">
            <w:pPr>
              <w:jc w:val="center"/>
              <w:rPr>
                <w:rFonts w:ascii="Arial" w:hAnsi="Arial" w:cs="Arial"/>
                <w:color w:val="000000"/>
                <w:sz w:val="20"/>
                <w:szCs w:val="20"/>
              </w:rPr>
            </w:pPr>
          </w:p>
        </w:tc>
        <w:tc>
          <w:tcPr>
            <w:tcW w:w="3982" w:type="dxa"/>
            <w:tcBorders>
              <w:top w:val="nil"/>
              <w:left w:val="single" w:sz="4" w:space="0" w:color="auto"/>
              <w:bottom w:val="single" w:sz="4" w:space="0" w:color="auto"/>
              <w:right w:val="single" w:sz="4" w:space="0" w:color="auto"/>
            </w:tcBorders>
            <w:hideMark/>
          </w:tcPr>
          <w:p w:rsidR="000D732C" w:rsidRDefault="000D732C">
            <w:pPr>
              <w:rPr>
                <w:rFonts w:ascii="Arial" w:hAnsi="Arial" w:cs="Arial"/>
                <w:color w:val="000000"/>
                <w:sz w:val="20"/>
                <w:szCs w:val="20"/>
              </w:rPr>
            </w:pPr>
            <w:r>
              <w:rPr>
                <w:rFonts w:ascii="Arial" w:hAnsi="Arial" w:cs="Arial"/>
                <w:color w:val="000000"/>
                <w:sz w:val="20"/>
                <w:szCs w:val="20"/>
              </w:rPr>
              <w:t xml:space="preserve">2. Коэффициент </w:t>
            </w:r>
            <w:proofErr w:type="gramStart"/>
            <w:r>
              <w:rPr>
                <w:rFonts w:ascii="Arial" w:hAnsi="Arial" w:cs="Arial"/>
                <w:color w:val="000000"/>
                <w:sz w:val="20"/>
                <w:szCs w:val="20"/>
              </w:rPr>
              <w:t>финансового</w:t>
            </w:r>
            <w:proofErr w:type="gramEnd"/>
            <w:r>
              <w:rPr>
                <w:rFonts w:ascii="Arial" w:hAnsi="Arial" w:cs="Arial"/>
                <w:color w:val="000000"/>
                <w:sz w:val="20"/>
                <w:szCs w:val="20"/>
              </w:rPr>
              <w:t xml:space="preserve"> </w:t>
            </w:r>
            <w:proofErr w:type="spellStart"/>
            <w:r>
              <w:rPr>
                <w:rFonts w:ascii="Arial" w:hAnsi="Arial" w:cs="Arial"/>
                <w:color w:val="000000"/>
                <w:sz w:val="20"/>
                <w:szCs w:val="20"/>
              </w:rPr>
              <w:t>левериджа</w:t>
            </w:r>
            <w:proofErr w:type="spellEnd"/>
          </w:p>
        </w:tc>
        <w:tc>
          <w:tcPr>
            <w:tcW w:w="1494"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498"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565"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063"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3121" w:type="dxa"/>
            <w:gridSpan w:val="4"/>
            <w:tcBorders>
              <w:top w:val="single" w:sz="4" w:space="0" w:color="auto"/>
              <w:left w:val="nil"/>
              <w:bottom w:val="single" w:sz="4" w:space="0" w:color="auto"/>
              <w:right w:val="single" w:sz="4" w:space="0" w:color="auto"/>
            </w:tcBorders>
            <w:hideMark/>
          </w:tcPr>
          <w:p w:rsidR="000D732C" w:rsidRDefault="000D732C">
            <w:pPr>
              <w:jc w:val="center"/>
              <w:rPr>
                <w:rFonts w:ascii="Arial" w:hAnsi="Arial" w:cs="Arial"/>
                <w:color w:val="000000"/>
                <w:sz w:val="20"/>
                <w:szCs w:val="20"/>
              </w:rPr>
            </w:pPr>
            <w:r>
              <w:rPr>
                <w:rFonts w:ascii="Arial" w:hAnsi="Arial" w:cs="Arial"/>
                <w:color w:val="000000"/>
                <w:sz w:val="20"/>
                <w:szCs w:val="20"/>
              </w:rPr>
              <w:t xml:space="preserve">Отношение заемного капитала к </w:t>
            </w:r>
            <w:proofErr w:type="gramStart"/>
            <w:r>
              <w:rPr>
                <w:rFonts w:ascii="Arial" w:hAnsi="Arial" w:cs="Arial"/>
                <w:color w:val="000000"/>
                <w:sz w:val="20"/>
                <w:szCs w:val="20"/>
              </w:rPr>
              <w:t>собственному</w:t>
            </w:r>
            <w:proofErr w:type="gramEnd"/>
            <w:r>
              <w:rPr>
                <w:rFonts w:ascii="Arial" w:hAnsi="Arial" w:cs="Arial"/>
                <w:color w:val="000000"/>
                <w:sz w:val="20"/>
                <w:szCs w:val="20"/>
              </w:rPr>
              <w:t>. Нормальное значение: 1,5 и менее (оптимальное 0,43-1).</w:t>
            </w:r>
          </w:p>
        </w:tc>
      </w:tr>
      <w:tr w:rsidR="000D732C" w:rsidTr="000D732C">
        <w:trPr>
          <w:gridAfter w:val="2"/>
          <w:wAfter w:w="243" w:type="dxa"/>
          <w:trHeight w:val="600"/>
        </w:trPr>
        <w:tc>
          <w:tcPr>
            <w:tcW w:w="830" w:type="dxa"/>
            <w:noWrap/>
            <w:vAlign w:val="bottom"/>
          </w:tcPr>
          <w:p w:rsidR="000D732C" w:rsidRDefault="000D732C">
            <w:pPr>
              <w:jc w:val="center"/>
              <w:rPr>
                <w:rFonts w:ascii="Arial" w:hAnsi="Arial" w:cs="Arial"/>
                <w:color w:val="000000"/>
                <w:sz w:val="20"/>
                <w:szCs w:val="20"/>
              </w:rPr>
            </w:pPr>
          </w:p>
        </w:tc>
        <w:tc>
          <w:tcPr>
            <w:tcW w:w="3982" w:type="dxa"/>
            <w:tcBorders>
              <w:top w:val="nil"/>
              <w:left w:val="single" w:sz="4" w:space="0" w:color="auto"/>
              <w:bottom w:val="single" w:sz="4" w:space="0" w:color="auto"/>
              <w:right w:val="single" w:sz="4" w:space="0" w:color="auto"/>
            </w:tcBorders>
            <w:hideMark/>
          </w:tcPr>
          <w:p w:rsidR="000D732C" w:rsidRDefault="000D732C">
            <w:pPr>
              <w:rPr>
                <w:rFonts w:ascii="Arial" w:hAnsi="Arial" w:cs="Arial"/>
                <w:color w:val="000000"/>
                <w:sz w:val="20"/>
                <w:szCs w:val="20"/>
              </w:rPr>
            </w:pPr>
            <w:r>
              <w:rPr>
                <w:rFonts w:ascii="Arial" w:hAnsi="Arial" w:cs="Arial"/>
                <w:color w:val="000000"/>
                <w:sz w:val="20"/>
                <w:szCs w:val="20"/>
              </w:rPr>
              <w:t>3. Коэффициент обеспеченности собственными оборотными средствами</w:t>
            </w:r>
          </w:p>
        </w:tc>
        <w:tc>
          <w:tcPr>
            <w:tcW w:w="1494"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498"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565"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063"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3121" w:type="dxa"/>
            <w:gridSpan w:val="4"/>
            <w:tcBorders>
              <w:top w:val="single" w:sz="4" w:space="0" w:color="auto"/>
              <w:left w:val="nil"/>
              <w:bottom w:val="single" w:sz="4" w:space="0" w:color="auto"/>
              <w:right w:val="single" w:sz="4" w:space="0" w:color="auto"/>
            </w:tcBorders>
            <w:hideMark/>
          </w:tcPr>
          <w:p w:rsidR="000D732C" w:rsidRDefault="000D732C">
            <w:pPr>
              <w:jc w:val="center"/>
              <w:rPr>
                <w:rFonts w:ascii="Arial" w:hAnsi="Arial" w:cs="Arial"/>
                <w:color w:val="000000"/>
                <w:sz w:val="20"/>
                <w:szCs w:val="20"/>
              </w:rPr>
            </w:pPr>
            <w:r>
              <w:rPr>
                <w:rFonts w:ascii="Arial" w:hAnsi="Arial" w:cs="Arial"/>
                <w:color w:val="000000"/>
                <w:sz w:val="20"/>
                <w:szCs w:val="20"/>
              </w:rPr>
              <w:t>Отношение собственных оборотных средств к оборотным активам. Нормальное значение: 0,1 и более.</w:t>
            </w:r>
          </w:p>
        </w:tc>
      </w:tr>
      <w:tr w:rsidR="000D732C" w:rsidTr="000D732C">
        <w:trPr>
          <w:gridAfter w:val="2"/>
          <w:wAfter w:w="243" w:type="dxa"/>
          <w:trHeight w:val="600"/>
        </w:trPr>
        <w:tc>
          <w:tcPr>
            <w:tcW w:w="830" w:type="dxa"/>
            <w:noWrap/>
            <w:vAlign w:val="bottom"/>
          </w:tcPr>
          <w:p w:rsidR="000D732C" w:rsidRDefault="000D732C">
            <w:pPr>
              <w:jc w:val="center"/>
              <w:rPr>
                <w:rFonts w:ascii="Arial" w:hAnsi="Arial" w:cs="Arial"/>
                <w:color w:val="000000"/>
                <w:sz w:val="20"/>
                <w:szCs w:val="20"/>
              </w:rPr>
            </w:pPr>
          </w:p>
        </w:tc>
        <w:tc>
          <w:tcPr>
            <w:tcW w:w="3982" w:type="dxa"/>
            <w:tcBorders>
              <w:top w:val="nil"/>
              <w:left w:val="single" w:sz="4" w:space="0" w:color="auto"/>
              <w:bottom w:val="single" w:sz="4" w:space="0" w:color="auto"/>
              <w:right w:val="single" w:sz="4" w:space="0" w:color="auto"/>
            </w:tcBorders>
            <w:hideMark/>
          </w:tcPr>
          <w:p w:rsidR="000D732C" w:rsidRDefault="000D732C">
            <w:pPr>
              <w:rPr>
                <w:rFonts w:ascii="Arial" w:hAnsi="Arial" w:cs="Arial"/>
                <w:color w:val="000000"/>
                <w:sz w:val="20"/>
                <w:szCs w:val="20"/>
              </w:rPr>
            </w:pPr>
            <w:r>
              <w:rPr>
                <w:rFonts w:ascii="Arial" w:hAnsi="Arial" w:cs="Arial"/>
                <w:color w:val="000000"/>
                <w:sz w:val="20"/>
                <w:szCs w:val="20"/>
              </w:rPr>
              <w:t>4. Индекс постоянного актива</w:t>
            </w:r>
          </w:p>
        </w:tc>
        <w:tc>
          <w:tcPr>
            <w:tcW w:w="1494"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498"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565"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063"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3121" w:type="dxa"/>
            <w:gridSpan w:val="4"/>
            <w:tcBorders>
              <w:top w:val="single" w:sz="4" w:space="0" w:color="auto"/>
              <w:left w:val="nil"/>
              <w:bottom w:val="single" w:sz="4" w:space="0" w:color="auto"/>
              <w:right w:val="single" w:sz="4" w:space="0" w:color="auto"/>
            </w:tcBorders>
            <w:hideMark/>
          </w:tcPr>
          <w:p w:rsidR="000D732C" w:rsidRDefault="000D732C">
            <w:pPr>
              <w:jc w:val="center"/>
              <w:rPr>
                <w:rFonts w:ascii="Arial" w:hAnsi="Arial" w:cs="Arial"/>
                <w:color w:val="000000"/>
                <w:sz w:val="20"/>
                <w:szCs w:val="20"/>
              </w:rPr>
            </w:pPr>
            <w:r>
              <w:rPr>
                <w:rFonts w:ascii="Arial" w:hAnsi="Arial" w:cs="Arial"/>
                <w:color w:val="000000"/>
                <w:sz w:val="20"/>
                <w:szCs w:val="20"/>
              </w:rPr>
              <w:t xml:space="preserve">Отношение стоимости </w:t>
            </w:r>
            <w:proofErr w:type="spellStart"/>
            <w:r>
              <w:rPr>
                <w:rFonts w:ascii="Arial" w:hAnsi="Arial" w:cs="Arial"/>
                <w:color w:val="000000"/>
                <w:sz w:val="20"/>
                <w:szCs w:val="20"/>
              </w:rPr>
              <w:t>внеоборотных</w:t>
            </w:r>
            <w:proofErr w:type="spellEnd"/>
            <w:r>
              <w:rPr>
                <w:rFonts w:ascii="Arial" w:hAnsi="Arial" w:cs="Arial"/>
                <w:color w:val="000000"/>
                <w:sz w:val="20"/>
                <w:szCs w:val="20"/>
              </w:rPr>
              <w:t xml:space="preserve"> активов к величине собственного капитала организации.</w:t>
            </w:r>
          </w:p>
        </w:tc>
      </w:tr>
      <w:tr w:rsidR="000D732C" w:rsidTr="000D732C">
        <w:trPr>
          <w:gridAfter w:val="2"/>
          <w:wAfter w:w="243" w:type="dxa"/>
          <w:trHeight w:val="600"/>
        </w:trPr>
        <w:tc>
          <w:tcPr>
            <w:tcW w:w="830" w:type="dxa"/>
            <w:noWrap/>
            <w:vAlign w:val="bottom"/>
          </w:tcPr>
          <w:p w:rsidR="000D732C" w:rsidRDefault="000D732C">
            <w:pPr>
              <w:jc w:val="center"/>
              <w:rPr>
                <w:rFonts w:ascii="Arial" w:hAnsi="Arial" w:cs="Arial"/>
                <w:color w:val="000000"/>
                <w:sz w:val="20"/>
                <w:szCs w:val="20"/>
              </w:rPr>
            </w:pPr>
          </w:p>
        </w:tc>
        <w:tc>
          <w:tcPr>
            <w:tcW w:w="3982" w:type="dxa"/>
            <w:tcBorders>
              <w:top w:val="nil"/>
              <w:left w:val="single" w:sz="4" w:space="0" w:color="auto"/>
              <w:bottom w:val="single" w:sz="4" w:space="0" w:color="auto"/>
              <w:right w:val="single" w:sz="4" w:space="0" w:color="auto"/>
            </w:tcBorders>
            <w:hideMark/>
          </w:tcPr>
          <w:p w:rsidR="000D732C" w:rsidRDefault="000D732C">
            <w:pPr>
              <w:rPr>
                <w:rFonts w:ascii="Arial" w:hAnsi="Arial" w:cs="Arial"/>
                <w:color w:val="000000"/>
                <w:sz w:val="20"/>
                <w:szCs w:val="20"/>
              </w:rPr>
            </w:pPr>
            <w:r>
              <w:rPr>
                <w:rFonts w:ascii="Arial" w:hAnsi="Arial" w:cs="Arial"/>
                <w:color w:val="000000"/>
                <w:sz w:val="20"/>
                <w:szCs w:val="20"/>
              </w:rPr>
              <w:t>5. Коэффициент покрытия инвестиций</w:t>
            </w:r>
          </w:p>
        </w:tc>
        <w:tc>
          <w:tcPr>
            <w:tcW w:w="1494"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498"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565"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063"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3121" w:type="dxa"/>
            <w:gridSpan w:val="4"/>
            <w:tcBorders>
              <w:top w:val="single" w:sz="4" w:space="0" w:color="auto"/>
              <w:left w:val="nil"/>
              <w:bottom w:val="single" w:sz="4" w:space="0" w:color="auto"/>
              <w:right w:val="single" w:sz="4" w:space="0" w:color="auto"/>
            </w:tcBorders>
            <w:hideMark/>
          </w:tcPr>
          <w:p w:rsidR="000D732C" w:rsidRDefault="000D732C">
            <w:pPr>
              <w:jc w:val="center"/>
              <w:rPr>
                <w:rFonts w:ascii="Arial" w:hAnsi="Arial" w:cs="Arial"/>
                <w:color w:val="000000"/>
                <w:sz w:val="20"/>
                <w:szCs w:val="20"/>
              </w:rPr>
            </w:pPr>
            <w:r>
              <w:rPr>
                <w:rFonts w:ascii="Arial" w:hAnsi="Arial" w:cs="Arial"/>
                <w:color w:val="000000"/>
                <w:sz w:val="20"/>
                <w:szCs w:val="20"/>
              </w:rPr>
              <w:t>Отношение собственного капитала и долгосрочных обязательств к общей сумме капитала. Нормальное значение: 0,65 и более.</w:t>
            </w:r>
          </w:p>
        </w:tc>
      </w:tr>
      <w:tr w:rsidR="000D732C" w:rsidTr="000D732C">
        <w:trPr>
          <w:gridAfter w:val="2"/>
          <w:wAfter w:w="243" w:type="dxa"/>
          <w:trHeight w:val="600"/>
        </w:trPr>
        <w:tc>
          <w:tcPr>
            <w:tcW w:w="830" w:type="dxa"/>
            <w:noWrap/>
            <w:vAlign w:val="bottom"/>
          </w:tcPr>
          <w:p w:rsidR="000D732C" w:rsidRDefault="000D732C">
            <w:pPr>
              <w:jc w:val="center"/>
              <w:rPr>
                <w:rFonts w:ascii="Arial" w:hAnsi="Arial" w:cs="Arial"/>
                <w:color w:val="000000"/>
                <w:sz w:val="20"/>
                <w:szCs w:val="20"/>
              </w:rPr>
            </w:pPr>
          </w:p>
        </w:tc>
        <w:tc>
          <w:tcPr>
            <w:tcW w:w="3982" w:type="dxa"/>
            <w:tcBorders>
              <w:top w:val="nil"/>
              <w:left w:val="single" w:sz="4" w:space="0" w:color="auto"/>
              <w:bottom w:val="single" w:sz="4" w:space="0" w:color="auto"/>
              <w:right w:val="single" w:sz="4" w:space="0" w:color="auto"/>
            </w:tcBorders>
            <w:hideMark/>
          </w:tcPr>
          <w:p w:rsidR="000D732C" w:rsidRDefault="000D732C">
            <w:pPr>
              <w:rPr>
                <w:rFonts w:ascii="Arial" w:hAnsi="Arial" w:cs="Arial"/>
                <w:color w:val="000000"/>
                <w:sz w:val="20"/>
                <w:szCs w:val="20"/>
              </w:rPr>
            </w:pPr>
            <w:r>
              <w:rPr>
                <w:rFonts w:ascii="Arial" w:hAnsi="Arial" w:cs="Arial"/>
                <w:color w:val="000000"/>
                <w:sz w:val="20"/>
                <w:szCs w:val="20"/>
              </w:rPr>
              <w:t>6. Коэффициент маневренности собственного капитала</w:t>
            </w:r>
          </w:p>
        </w:tc>
        <w:tc>
          <w:tcPr>
            <w:tcW w:w="1494"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498"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565"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063"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3121" w:type="dxa"/>
            <w:gridSpan w:val="4"/>
            <w:tcBorders>
              <w:top w:val="single" w:sz="4" w:space="0" w:color="auto"/>
              <w:left w:val="nil"/>
              <w:bottom w:val="single" w:sz="4" w:space="0" w:color="auto"/>
              <w:right w:val="single" w:sz="4" w:space="0" w:color="auto"/>
            </w:tcBorders>
            <w:hideMark/>
          </w:tcPr>
          <w:p w:rsidR="000D732C" w:rsidRDefault="000D732C">
            <w:pPr>
              <w:jc w:val="center"/>
              <w:rPr>
                <w:rFonts w:ascii="Arial" w:hAnsi="Arial" w:cs="Arial"/>
                <w:color w:val="000000"/>
                <w:sz w:val="20"/>
                <w:szCs w:val="20"/>
              </w:rPr>
            </w:pPr>
            <w:r>
              <w:rPr>
                <w:rFonts w:ascii="Arial" w:hAnsi="Arial" w:cs="Arial"/>
                <w:color w:val="000000"/>
                <w:sz w:val="20"/>
                <w:szCs w:val="20"/>
              </w:rPr>
              <w:t>Отношение собственных оборотных средств к источникам собственных средств. Нормальное значение: 0,2 и более.</w:t>
            </w:r>
          </w:p>
        </w:tc>
      </w:tr>
      <w:tr w:rsidR="000D732C" w:rsidTr="000D732C">
        <w:trPr>
          <w:gridAfter w:val="2"/>
          <w:wAfter w:w="243" w:type="dxa"/>
          <w:trHeight w:val="600"/>
        </w:trPr>
        <w:tc>
          <w:tcPr>
            <w:tcW w:w="830" w:type="dxa"/>
            <w:noWrap/>
            <w:vAlign w:val="bottom"/>
          </w:tcPr>
          <w:p w:rsidR="000D732C" w:rsidRDefault="000D732C">
            <w:pPr>
              <w:jc w:val="center"/>
              <w:rPr>
                <w:rFonts w:ascii="Arial" w:hAnsi="Arial" w:cs="Arial"/>
                <w:color w:val="000000"/>
                <w:sz w:val="20"/>
                <w:szCs w:val="20"/>
              </w:rPr>
            </w:pPr>
          </w:p>
        </w:tc>
        <w:tc>
          <w:tcPr>
            <w:tcW w:w="3982" w:type="dxa"/>
            <w:tcBorders>
              <w:top w:val="nil"/>
              <w:left w:val="single" w:sz="4" w:space="0" w:color="auto"/>
              <w:bottom w:val="single" w:sz="4" w:space="0" w:color="auto"/>
              <w:right w:val="single" w:sz="4" w:space="0" w:color="auto"/>
            </w:tcBorders>
            <w:hideMark/>
          </w:tcPr>
          <w:p w:rsidR="000D732C" w:rsidRDefault="000D732C">
            <w:pPr>
              <w:rPr>
                <w:rFonts w:ascii="Arial" w:hAnsi="Arial" w:cs="Arial"/>
                <w:color w:val="000000"/>
                <w:sz w:val="20"/>
                <w:szCs w:val="20"/>
              </w:rPr>
            </w:pPr>
            <w:r>
              <w:rPr>
                <w:rFonts w:ascii="Arial" w:hAnsi="Arial" w:cs="Arial"/>
                <w:color w:val="000000"/>
                <w:sz w:val="20"/>
                <w:szCs w:val="20"/>
              </w:rPr>
              <w:t>7. Коэффициент мобильности имущества</w:t>
            </w:r>
          </w:p>
        </w:tc>
        <w:tc>
          <w:tcPr>
            <w:tcW w:w="1494"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498"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565"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063"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3121" w:type="dxa"/>
            <w:gridSpan w:val="4"/>
            <w:tcBorders>
              <w:top w:val="single" w:sz="4" w:space="0" w:color="auto"/>
              <w:left w:val="nil"/>
              <w:bottom w:val="single" w:sz="4" w:space="0" w:color="auto"/>
              <w:right w:val="single" w:sz="4" w:space="0" w:color="auto"/>
            </w:tcBorders>
            <w:hideMark/>
          </w:tcPr>
          <w:p w:rsidR="000D732C" w:rsidRDefault="000D732C">
            <w:pPr>
              <w:jc w:val="center"/>
              <w:rPr>
                <w:rFonts w:ascii="Arial" w:hAnsi="Arial" w:cs="Arial"/>
                <w:color w:val="000000"/>
                <w:sz w:val="20"/>
                <w:szCs w:val="20"/>
              </w:rPr>
            </w:pPr>
            <w:r>
              <w:rPr>
                <w:rFonts w:ascii="Arial" w:hAnsi="Arial" w:cs="Arial"/>
                <w:color w:val="000000"/>
                <w:sz w:val="20"/>
                <w:szCs w:val="20"/>
              </w:rPr>
              <w:t>Отношение оборотных сре</w:t>
            </w:r>
            <w:proofErr w:type="gramStart"/>
            <w:r>
              <w:rPr>
                <w:rFonts w:ascii="Arial" w:hAnsi="Arial" w:cs="Arial"/>
                <w:color w:val="000000"/>
                <w:sz w:val="20"/>
                <w:szCs w:val="20"/>
              </w:rPr>
              <w:t>дств к ст</w:t>
            </w:r>
            <w:proofErr w:type="gramEnd"/>
            <w:r>
              <w:rPr>
                <w:rFonts w:ascii="Arial" w:hAnsi="Arial" w:cs="Arial"/>
                <w:color w:val="000000"/>
                <w:sz w:val="20"/>
                <w:szCs w:val="20"/>
              </w:rPr>
              <w:t>оимости всего имущества. Характеризует отраслевую специфику организации.</w:t>
            </w:r>
          </w:p>
        </w:tc>
      </w:tr>
      <w:tr w:rsidR="000D732C" w:rsidTr="000D732C">
        <w:trPr>
          <w:gridAfter w:val="2"/>
          <w:wAfter w:w="243" w:type="dxa"/>
          <w:trHeight w:val="600"/>
        </w:trPr>
        <w:tc>
          <w:tcPr>
            <w:tcW w:w="830" w:type="dxa"/>
            <w:noWrap/>
            <w:vAlign w:val="bottom"/>
          </w:tcPr>
          <w:p w:rsidR="000D732C" w:rsidRDefault="000D732C">
            <w:pPr>
              <w:jc w:val="center"/>
              <w:rPr>
                <w:rFonts w:ascii="Arial" w:hAnsi="Arial" w:cs="Arial"/>
                <w:color w:val="000000"/>
                <w:sz w:val="20"/>
                <w:szCs w:val="20"/>
              </w:rPr>
            </w:pPr>
          </w:p>
        </w:tc>
        <w:tc>
          <w:tcPr>
            <w:tcW w:w="3982" w:type="dxa"/>
            <w:tcBorders>
              <w:top w:val="nil"/>
              <w:left w:val="single" w:sz="4" w:space="0" w:color="auto"/>
              <w:bottom w:val="single" w:sz="4" w:space="0" w:color="auto"/>
              <w:right w:val="single" w:sz="4" w:space="0" w:color="auto"/>
            </w:tcBorders>
            <w:hideMark/>
          </w:tcPr>
          <w:p w:rsidR="000D732C" w:rsidRDefault="000D732C">
            <w:pPr>
              <w:rPr>
                <w:rFonts w:ascii="Arial" w:hAnsi="Arial" w:cs="Arial"/>
                <w:color w:val="000000"/>
                <w:sz w:val="20"/>
                <w:szCs w:val="20"/>
              </w:rPr>
            </w:pPr>
            <w:r>
              <w:rPr>
                <w:rFonts w:ascii="Arial" w:hAnsi="Arial" w:cs="Arial"/>
                <w:color w:val="000000"/>
                <w:sz w:val="20"/>
                <w:szCs w:val="20"/>
              </w:rPr>
              <w:t>8. Коэффициент мобильности оборотных средств</w:t>
            </w:r>
          </w:p>
        </w:tc>
        <w:tc>
          <w:tcPr>
            <w:tcW w:w="1494"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498"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565"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063"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3121" w:type="dxa"/>
            <w:gridSpan w:val="4"/>
            <w:tcBorders>
              <w:top w:val="single" w:sz="4" w:space="0" w:color="auto"/>
              <w:left w:val="nil"/>
              <w:bottom w:val="single" w:sz="4" w:space="0" w:color="auto"/>
              <w:right w:val="single" w:sz="4" w:space="0" w:color="auto"/>
            </w:tcBorders>
            <w:hideMark/>
          </w:tcPr>
          <w:p w:rsidR="000D732C" w:rsidRDefault="000D732C">
            <w:pPr>
              <w:jc w:val="center"/>
              <w:rPr>
                <w:rFonts w:ascii="Arial" w:hAnsi="Arial" w:cs="Arial"/>
                <w:color w:val="000000"/>
                <w:sz w:val="20"/>
                <w:szCs w:val="20"/>
              </w:rPr>
            </w:pPr>
            <w:r>
              <w:rPr>
                <w:rFonts w:ascii="Arial" w:hAnsi="Arial" w:cs="Arial"/>
                <w:color w:val="000000"/>
                <w:sz w:val="20"/>
                <w:szCs w:val="20"/>
              </w:rPr>
              <w:t>Отношение наиболее мобильной части оборотных средств (денежных средств и финансовых вложений) к общей стоимости оборотных активов.</w:t>
            </w:r>
          </w:p>
        </w:tc>
      </w:tr>
      <w:tr w:rsidR="000D732C" w:rsidTr="000D732C">
        <w:trPr>
          <w:gridAfter w:val="2"/>
          <w:wAfter w:w="243" w:type="dxa"/>
          <w:trHeight w:val="600"/>
        </w:trPr>
        <w:tc>
          <w:tcPr>
            <w:tcW w:w="830" w:type="dxa"/>
            <w:noWrap/>
            <w:vAlign w:val="bottom"/>
          </w:tcPr>
          <w:p w:rsidR="000D732C" w:rsidRDefault="000D732C">
            <w:pPr>
              <w:jc w:val="center"/>
              <w:rPr>
                <w:rFonts w:ascii="Arial" w:hAnsi="Arial" w:cs="Arial"/>
                <w:color w:val="000000"/>
                <w:sz w:val="20"/>
                <w:szCs w:val="20"/>
              </w:rPr>
            </w:pPr>
          </w:p>
        </w:tc>
        <w:tc>
          <w:tcPr>
            <w:tcW w:w="3982" w:type="dxa"/>
            <w:tcBorders>
              <w:top w:val="nil"/>
              <w:left w:val="single" w:sz="4" w:space="0" w:color="auto"/>
              <w:bottom w:val="single" w:sz="4" w:space="0" w:color="auto"/>
              <w:right w:val="single" w:sz="4" w:space="0" w:color="auto"/>
            </w:tcBorders>
            <w:hideMark/>
          </w:tcPr>
          <w:p w:rsidR="000D732C" w:rsidRDefault="000D732C">
            <w:pPr>
              <w:rPr>
                <w:rFonts w:ascii="Arial" w:hAnsi="Arial" w:cs="Arial"/>
                <w:color w:val="000000"/>
                <w:sz w:val="20"/>
                <w:szCs w:val="20"/>
              </w:rPr>
            </w:pPr>
            <w:r>
              <w:rPr>
                <w:rFonts w:ascii="Arial" w:hAnsi="Arial" w:cs="Arial"/>
                <w:color w:val="000000"/>
                <w:sz w:val="20"/>
                <w:szCs w:val="20"/>
              </w:rPr>
              <w:t>9. Коэффициент обеспеченности запасов</w:t>
            </w:r>
          </w:p>
        </w:tc>
        <w:tc>
          <w:tcPr>
            <w:tcW w:w="1494"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498"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565"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063"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3121" w:type="dxa"/>
            <w:gridSpan w:val="4"/>
            <w:tcBorders>
              <w:top w:val="single" w:sz="4" w:space="0" w:color="auto"/>
              <w:left w:val="nil"/>
              <w:bottom w:val="single" w:sz="4" w:space="0" w:color="auto"/>
              <w:right w:val="single" w:sz="4" w:space="0" w:color="auto"/>
            </w:tcBorders>
            <w:hideMark/>
          </w:tcPr>
          <w:p w:rsidR="000D732C" w:rsidRDefault="000D732C">
            <w:pPr>
              <w:jc w:val="center"/>
              <w:rPr>
                <w:rFonts w:ascii="Arial" w:hAnsi="Arial" w:cs="Arial"/>
                <w:color w:val="000000"/>
                <w:sz w:val="20"/>
                <w:szCs w:val="20"/>
              </w:rPr>
            </w:pPr>
            <w:r>
              <w:rPr>
                <w:rFonts w:ascii="Arial" w:hAnsi="Arial" w:cs="Arial"/>
                <w:color w:val="000000"/>
                <w:sz w:val="20"/>
                <w:szCs w:val="20"/>
              </w:rPr>
              <w:t>Отношение собственных оборотных сре</w:t>
            </w:r>
            <w:proofErr w:type="gramStart"/>
            <w:r>
              <w:rPr>
                <w:rFonts w:ascii="Arial" w:hAnsi="Arial" w:cs="Arial"/>
                <w:color w:val="000000"/>
                <w:sz w:val="20"/>
                <w:szCs w:val="20"/>
              </w:rPr>
              <w:t>дств к ст</w:t>
            </w:r>
            <w:proofErr w:type="gramEnd"/>
            <w:r>
              <w:rPr>
                <w:rFonts w:ascii="Arial" w:hAnsi="Arial" w:cs="Arial"/>
                <w:color w:val="000000"/>
                <w:sz w:val="20"/>
                <w:szCs w:val="20"/>
              </w:rPr>
              <w:t xml:space="preserve">оимости запасов. Нормальное значение: 0,5 и более. </w:t>
            </w:r>
          </w:p>
        </w:tc>
      </w:tr>
      <w:tr w:rsidR="000D732C" w:rsidTr="000D732C">
        <w:trPr>
          <w:gridAfter w:val="2"/>
          <w:wAfter w:w="243" w:type="dxa"/>
          <w:trHeight w:val="600"/>
        </w:trPr>
        <w:tc>
          <w:tcPr>
            <w:tcW w:w="830" w:type="dxa"/>
            <w:noWrap/>
            <w:vAlign w:val="bottom"/>
          </w:tcPr>
          <w:p w:rsidR="000D732C" w:rsidRDefault="000D732C">
            <w:pPr>
              <w:jc w:val="center"/>
              <w:rPr>
                <w:rFonts w:ascii="Arial" w:hAnsi="Arial" w:cs="Arial"/>
                <w:color w:val="000000"/>
                <w:sz w:val="20"/>
                <w:szCs w:val="20"/>
              </w:rPr>
            </w:pPr>
          </w:p>
        </w:tc>
        <w:tc>
          <w:tcPr>
            <w:tcW w:w="3982" w:type="dxa"/>
            <w:tcBorders>
              <w:top w:val="nil"/>
              <w:left w:val="single" w:sz="4" w:space="0" w:color="auto"/>
              <w:bottom w:val="single" w:sz="4" w:space="0" w:color="auto"/>
              <w:right w:val="single" w:sz="4" w:space="0" w:color="auto"/>
            </w:tcBorders>
            <w:hideMark/>
          </w:tcPr>
          <w:p w:rsidR="000D732C" w:rsidRDefault="000D732C">
            <w:pPr>
              <w:rPr>
                <w:rFonts w:ascii="Arial" w:hAnsi="Arial" w:cs="Arial"/>
                <w:color w:val="000000"/>
                <w:sz w:val="20"/>
                <w:szCs w:val="20"/>
              </w:rPr>
            </w:pPr>
            <w:r>
              <w:rPr>
                <w:rFonts w:ascii="Arial" w:hAnsi="Arial" w:cs="Arial"/>
                <w:color w:val="000000"/>
                <w:sz w:val="20"/>
                <w:szCs w:val="20"/>
              </w:rPr>
              <w:t>10. Коэффициент краткосрочной задолженности</w:t>
            </w:r>
          </w:p>
        </w:tc>
        <w:tc>
          <w:tcPr>
            <w:tcW w:w="1494"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498"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565"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063" w:type="dxa"/>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408" w:type="dxa"/>
            <w:gridSpan w:val="3"/>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1054" w:type="dxa"/>
            <w:gridSpan w:val="4"/>
            <w:tcBorders>
              <w:top w:val="nil"/>
              <w:left w:val="nil"/>
              <w:bottom w:val="single" w:sz="4" w:space="0" w:color="auto"/>
              <w:right w:val="single" w:sz="4" w:space="0" w:color="auto"/>
            </w:tcBorders>
            <w:noWrap/>
            <w:vAlign w:val="center"/>
          </w:tcPr>
          <w:p w:rsidR="000D732C" w:rsidRDefault="000D732C">
            <w:pPr>
              <w:jc w:val="center"/>
              <w:rPr>
                <w:rFonts w:ascii="Arial" w:hAnsi="Arial" w:cs="Arial"/>
                <w:sz w:val="20"/>
                <w:szCs w:val="20"/>
              </w:rPr>
            </w:pPr>
          </w:p>
        </w:tc>
        <w:tc>
          <w:tcPr>
            <w:tcW w:w="3121" w:type="dxa"/>
            <w:gridSpan w:val="4"/>
            <w:tcBorders>
              <w:top w:val="single" w:sz="4" w:space="0" w:color="auto"/>
              <w:left w:val="nil"/>
              <w:bottom w:val="single" w:sz="4" w:space="0" w:color="auto"/>
              <w:right w:val="single" w:sz="4" w:space="0" w:color="auto"/>
            </w:tcBorders>
            <w:hideMark/>
          </w:tcPr>
          <w:p w:rsidR="000D732C" w:rsidRDefault="000D732C">
            <w:pPr>
              <w:jc w:val="center"/>
              <w:rPr>
                <w:rFonts w:ascii="Arial" w:hAnsi="Arial" w:cs="Arial"/>
                <w:color w:val="000000"/>
                <w:sz w:val="20"/>
                <w:szCs w:val="20"/>
              </w:rPr>
            </w:pPr>
            <w:r>
              <w:rPr>
                <w:rFonts w:ascii="Arial" w:hAnsi="Arial" w:cs="Arial"/>
                <w:color w:val="000000"/>
                <w:sz w:val="20"/>
                <w:szCs w:val="20"/>
              </w:rPr>
              <w:t>Отношение краткосрочной задолженности к общей сумме задолженности.</w:t>
            </w:r>
          </w:p>
        </w:tc>
      </w:tr>
      <w:tr w:rsidR="000D732C" w:rsidTr="000D732C">
        <w:trPr>
          <w:trHeight w:val="300"/>
        </w:trPr>
        <w:tc>
          <w:tcPr>
            <w:tcW w:w="830" w:type="dxa"/>
            <w:noWrap/>
            <w:vAlign w:val="bottom"/>
          </w:tcPr>
          <w:p w:rsidR="000D732C" w:rsidRDefault="000D732C">
            <w:pPr>
              <w:jc w:val="center"/>
              <w:rPr>
                <w:rFonts w:ascii="Arial" w:hAnsi="Arial" w:cs="Arial"/>
                <w:color w:val="000000"/>
                <w:sz w:val="20"/>
                <w:szCs w:val="20"/>
              </w:rPr>
            </w:pPr>
          </w:p>
        </w:tc>
        <w:tc>
          <w:tcPr>
            <w:tcW w:w="3982" w:type="dxa"/>
            <w:noWrap/>
            <w:vAlign w:val="bottom"/>
          </w:tcPr>
          <w:p w:rsidR="000D732C" w:rsidRDefault="000D732C">
            <w:pPr>
              <w:rPr>
                <w:sz w:val="20"/>
                <w:szCs w:val="20"/>
              </w:rPr>
            </w:pPr>
          </w:p>
        </w:tc>
        <w:tc>
          <w:tcPr>
            <w:tcW w:w="1494" w:type="dxa"/>
            <w:noWrap/>
            <w:vAlign w:val="bottom"/>
          </w:tcPr>
          <w:p w:rsidR="000D732C" w:rsidRDefault="000D732C">
            <w:pPr>
              <w:rPr>
                <w:sz w:val="20"/>
                <w:szCs w:val="20"/>
              </w:rPr>
            </w:pPr>
          </w:p>
        </w:tc>
        <w:tc>
          <w:tcPr>
            <w:tcW w:w="1498" w:type="dxa"/>
            <w:noWrap/>
            <w:vAlign w:val="bottom"/>
          </w:tcPr>
          <w:p w:rsidR="000D732C" w:rsidRDefault="000D732C">
            <w:pPr>
              <w:rPr>
                <w:sz w:val="20"/>
                <w:szCs w:val="20"/>
              </w:rPr>
            </w:pPr>
          </w:p>
        </w:tc>
        <w:tc>
          <w:tcPr>
            <w:tcW w:w="1565" w:type="dxa"/>
            <w:noWrap/>
            <w:vAlign w:val="bottom"/>
          </w:tcPr>
          <w:p w:rsidR="000D732C" w:rsidRDefault="000D732C">
            <w:pPr>
              <w:rPr>
                <w:sz w:val="20"/>
                <w:szCs w:val="20"/>
              </w:rPr>
            </w:pPr>
          </w:p>
        </w:tc>
        <w:tc>
          <w:tcPr>
            <w:tcW w:w="1063" w:type="dxa"/>
            <w:noWrap/>
            <w:vAlign w:val="bottom"/>
          </w:tcPr>
          <w:p w:rsidR="000D732C" w:rsidRDefault="000D732C">
            <w:pPr>
              <w:rPr>
                <w:sz w:val="20"/>
                <w:szCs w:val="20"/>
              </w:rPr>
            </w:pPr>
          </w:p>
        </w:tc>
        <w:tc>
          <w:tcPr>
            <w:tcW w:w="1408" w:type="dxa"/>
            <w:gridSpan w:val="3"/>
            <w:noWrap/>
            <w:vAlign w:val="bottom"/>
          </w:tcPr>
          <w:p w:rsidR="000D732C" w:rsidRDefault="000D732C">
            <w:pPr>
              <w:rPr>
                <w:sz w:val="20"/>
                <w:szCs w:val="20"/>
              </w:rPr>
            </w:pPr>
          </w:p>
        </w:tc>
        <w:tc>
          <w:tcPr>
            <w:tcW w:w="1054" w:type="dxa"/>
            <w:gridSpan w:val="4"/>
            <w:noWrap/>
            <w:vAlign w:val="bottom"/>
          </w:tcPr>
          <w:p w:rsidR="000D732C" w:rsidRDefault="000D732C">
            <w:pPr>
              <w:rPr>
                <w:sz w:val="20"/>
                <w:szCs w:val="20"/>
              </w:rPr>
            </w:pPr>
          </w:p>
        </w:tc>
        <w:tc>
          <w:tcPr>
            <w:tcW w:w="1417" w:type="dxa"/>
            <w:gridSpan w:val="3"/>
            <w:noWrap/>
            <w:vAlign w:val="bottom"/>
          </w:tcPr>
          <w:p w:rsidR="000D732C" w:rsidRDefault="000D732C">
            <w:pPr>
              <w:rPr>
                <w:sz w:val="20"/>
                <w:szCs w:val="2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noWrap/>
            <w:vAlign w:val="bottom"/>
          </w:tcPr>
          <w:p w:rsidR="000D732C" w:rsidRDefault="000D732C">
            <w:pPr>
              <w:rPr>
                <w:color w:val="FF0000"/>
                <w:sz w:val="20"/>
                <w:szCs w:val="20"/>
              </w:rPr>
            </w:pPr>
          </w:p>
        </w:tc>
        <w:tc>
          <w:tcPr>
            <w:tcW w:w="1494" w:type="dxa"/>
            <w:noWrap/>
            <w:vAlign w:val="bottom"/>
          </w:tcPr>
          <w:p w:rsidR="000D732C" w:rsidRDefault="000D732C">
            <w:pPr>
              <w:rPr>
                <w:color w:val="FF0000"/>
                <w:sz w:val="20"/>
                <w:szCs w:val="20"/>
              </w:rPr>
            </w:pPr>
          </w:p>
        </w:tc>
        <w:tc>
          <w:tcPr>
            <w:tcW w:w="1498" w:type="dxa"/>
            <w:noWrap/>
            <w:vAlign w:val="bottom"/>
          </w:tcPr>
          <w:p w:rsidR="000D732C" w:rsidRDefault="000D732C">
            <w:pPr>
              <w:rPr>
                <w:color w:val="FF0000"/>
                <w:sz w:val="20"/>
                <w:szCs w:val="20"/>
              </w:rPr>
            </w:pPr>
          </w:p>
        </w:tc>
        <w:tc>
          <w:tcPr>
            <w:tcW w:w="1565" w:type="dxa"/>
            <w:noWrap/>
            <w:vAlign w:val="bottom"/>
          </w:tcPr>
          <w:p w:rsidR="000D732C" w:rsidRDefault="000D732C">
            <w:pPr>
              <w:rPr>
                <w:color w:val="FF0000"/>
                <w:sz w:val="20"/>
                <w:szCs w:val="20"/>
              </w:rPr>
            </w:pPr>
          </w:p>
        </w:tc>
        <w:tc>
          <w:tcPr>
            <w:tcW w:w="1063" w:type="dxa"/>
            <w:noWrap/>
            <w:vAlign w:val="bottom"/>
          </w:tcPr>
          <w:p w:rsidR="000D732C" w:rsidRDefault="000D732C">
            <w:pPr>
              <w:rPr>
                <w:color w:val="FF0000"/>
                <w:sz w:val="20"/>
                <w:szCs w:val="20"/>
              </w:rPr>
            </w:pPr>
          </w:p>
        </w:tc>
        <w:tc>
          <w:tcPr>
            <w:tcW w:w="1408" w:type="dxa"/>
            <w:gridSpan w:val="3"/>
            <w:noWrap/>
            <w:vAlign w:val="bottom"/>
          </w:tcPr>
          <w:p w:rsidR="000D732C" w:rsidRDefault="000D732C">
            <w:pPr>
              <w:rPr>
                <w:color w:val="FF0000"/>
                <w:sz w:val="20"/>
                <w:szCs w:val="20"/>
              </w:rPr>
            </w:pPr>
          </w:p>
        </w:tc>
        <w:tc>
          <w:tcPr>
            <w:tcW w:w="1054" w:type="dxa"/>
            <w:gridSpan w:val="4"/>
            <w:noWrap/>
            <w:vAlign w:val="bottom"/>
          </w:tcPr>
          <w:p w:rsidR="000D732C" w:rsidRDefault="000D732C">
            <w:pPr>
              <w:rPr>
                <w:color w:val="FF0000"/>
                <w:sz w:val="20"/>
                <w:szCs w:val="20"/>
              </w:rPr>
            </w:pPr>
          </w:p>
        </w:tc>
        <w:tc>
          <w:tcPr>
            <w:tcW w:w="1417" w:type="dxa"/>
            <w:gridSpan w:val="3"/>
            <w:noWrap/>
            <w:vAlign w:val="bottom"/>
          </w:tcPr>
          <w:p w:rsidR="000D732C" w:rsidRDefault="000D732C">
            <w:pPr>
              <w:rPr>
                <w:color w:val="FF0000"/>
                <w:sz w:val="20"/>
                <w:szCs w:val="2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noWrap/>
            <w:vAlign w:val="bottom"/>
          </w:tcPr>
          <w:p w:rsidR="000D732C" w:rsidRDefault="000D732C">
            <w:pPr>
              <w:rPr>
                <w:sz w:val="20"/>
                <w:szCs w:val="20"/>
              </w:rPr>
            </w:pPr>
          </w:p>
        </w:tc>
        <w:tc>
          <w:tcPr>
            <w:tcW w:w="1494" w:type="dxa"/>
            <w:noWrap/>
            <w:vAlign w:val="bottom"/>
          </w:tcPr>
          <w:p w:rsidR="000D732C" w:rsidRDefault="000D732C">
            <w:pPr>
              <w:rPr>
                <w:sz w:val="20"/>
                <w:szCs w:val="20"/>
              </w:rPr>
            </w:pPr>
          </w:p>
        </w:tc>
        <w:tc>
          <w:tcPr>
            <w:tcW w:w="1498" w:type="dxa"/>
            <w:noWrap/>
            <w:vAlign w:val="bottom"/>
          </w:tcPr>
          <w:p w:rsidR="000D732C" w:rsidRDefault="000D732C">
            <w:pPr>
              <w:rPr>
                <w:sz w:val="20"/>
                <w:szCs w:val="20"/>
              </w:rPr>
            </w:pPr>
          </w:p>
        </w:tc>
        <w:tc>
          <w:tcPr>
            <w:tcW w:w="1565" w:type="dxa"/>
            <w:noWrap/>
            <w:vAlign w:val="bottom"/>
          </w:tcPr>
          <w:p w:rsidR="000D732C" w:rsidRDefault="000D732C">
            <w:pPr>
              <w:rPr>
                <w:sz w:val="20"/>
                <w:szCs w:val="20"/>
              </w:rPr>
            </w:pPr>
          </w:p>
        </w:tc>
        <w:tc>
          <w:tcPr>
            <w:tcW w:w="1063" w:type="dxa"/>
            <w:noWrap/>
            <w:vAlign w:val="bottom"/>
          </w:tcPr>
          <w:p w:rsidR="000D732C" w:rsidRDefault="000D732C">
            <w:pPr>
              <w:rPr>
                <w:sz w:val="20"/>
                <w:szCs w:val="20"/>
              </w:rPr>
            </w:pPr>
          </w:p>
        </w:tc>
        <w:tc>
          <w:tcPr>
            <w:tcW w:w="1408" w:type="dxa"/>
            <w:gridSpan w:val="3"/>
            <w:noWrap/>
            <w:vAlign w:val="bottom"/>
          </w:tcPr>
          <w:p w:rsidR="000D732C" w:rsidRDefault="000D732C">
            <w:pPr>
              <w:rPr>
                <w:sz w:val="20"/>
                <w:szCs w:val="20"/>
              </w:rPr>
            </w:pPr>
          </w:p>
        </w:tc>
        <w:tc>
          <w:tcPr>
            <w:tcW w:w="1054" w:type="dxa"/>
            <w:gridSpan w:val="4"/>
            <w:noWrap/>
            <w:vAlign w:val="bottom"/>
          </w:tcPr>
          <w:p w:rsidR="000D732C" w:rsidRDefault="000D732C">
            <w:pPr>
              <w:rPr>
                <w:sz w:val="20"/>
                <w:szCs w:val="20"/>
              </w:rPr>
            </w:pPr>
          </w:p>
        </w:tc>
        <w:tc>
          <w:tcPr>
            <w:tcW w:w="1417" w:type="dxa"/>
            <w:gridSpan w:val="3"/>
            <w:noWrap/>
            <w:vAlign w:val="bottom"/>
          </w:tcPr>
          <w:p w:rsidR="000D732C" w:rsidRDefault="000D732C">
            <w:pPr>
              <w:rPr>
                <w:sz w:val="20"/>
                <w:szCs w:val="2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noWrap/>
            <w:vAlign w:val="bottom"/>
          </w:tcPr>
          <w:p w:rsidR="000D732C" w:rsidRDefault="000D732C">
            <w:pPr>
              <w:rPr>
                <w:sz w:val="20"/>
                <w:szCs w:val="20"/>
              </w:rPr>
            </w:pPr>
          </w:p>
        </w:tc>
        <w:tc>
          <w:tcPr>
            <w:tcW w:w="1494" w:type="dxa"/>
            <w:noWrap/>
            <w:vAlign w:val="bottom"/>
          </w:tcPr>
          <w:p w:rsidR="000D732C" w:rsidRDefault="000D732C">
            <w:pPr>
              <w:rPr>
                <w:sz w:val="20"/>
                <w:szCs w:val="20"/>
              </w:rPr>
            </w:pPr>
          </w:p>
        </w:tc>
        <w:tc>
          <w:tcPr>
            <w:tcW w:w="1498" w:type="dxa"/>
            <w:noWrap/>
            <w:vAlign w:val="bottom"/>
          </w:tcPr>
          <w:p w:rsidR="000D732C" w:rsidRDefault="000D732C">
            <w:pPr>
              <w:rPr>
                <w:sz w:val="20"/>
                <w:szCs w:val="20"/>
              </w:rPr>
            </w:pPr>
          </w:p>
        </w:tc>
        <w:tc>
          <w:tcPr>
            <w:tcW w:w="1565" w:type="dxa"/>
            <w:noWrap/>
            <w:vAlign w:val="bottom"/>
          </w:tcPr>
          <w:p w:rsidR="000D732C" w:rsidRDefault="000D732C">
            <w:pPr>
              <w:rPr>
                <w:sz w:val="20"/>
                <w:szCs w:val="20"/>
              </w:rPr>
            </w:pPr>
          </w:p>
        </w:tc>
        <w:tc>
          <w:tcPr>
            <w:tcW w:w="1063" w:type="dxa"/>
            <w:noWrap/>
            <w:vAlign w:val="bottom"/>
          </w:tcPr>
          <w:p w:rsidR="000D732C" w:rsidRDefault="000D732C">
            <w:pPr>
              <w:rPr>
                <w:sz w:val="20"/>
                <w:szCs w:val="20"/>
              </w:rPr>
            </w:pPr>
          </w:p>
        </w:tc>
        <w:tc>
          <w:tcPr>
            <w:tcW w:w="1408" w:type="dxa"/>
            <w:gridSpan w:val="3"/>
            <w:noWrap/>
            <w:vAlign w:val="bottom"/>
          </w:tcPr>
          <w:p w:rsidR="000D732C" w:rsidRDefault="000D732C">
            <w:pPr>
              <w:rPr>
                <w:sz w:val="20"/>
                <w:szCs w:val="20"/>
              </w:rPr>
            </w:pPr>
          </w:p>
        </w:tc>
        <w:tc>
          <w:tcPr>
            <w:tcW w:w="1054" w:type="dxa"/>
            <w:gridSpan w:val="4"/>
            <w:noWrap/>
            <w:vAlign w:val="bottom"/>
          </w:tcPr>
          <w:p w:rsidR="000D732C" w:rsidRDefault="000D732C">
            <w:pPr>
              <w:rPr>
                <w:sz w:val="20"/>
                <w:szCs w:val="20"/>
              </w:rPr>
            </w:pPr>
          </w:p>
        </w:tc>
        <w:tc>
          <w:tcPr>
            <w:tcW w:w="1417" w:type="dxa"/>
            <w:gridSpan w:val="3"/>
            <w:noWrap/>
            <w:vAlign w:val="bottom"/>
          </w:tcPr>
          <w:p w:rsidR="000D732C" w:rsidRDefault="000D732C">
            <w:pPr>
              <w:rPr>
                <w:sz w:val="20"/>
                <w:szCs w:val="2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r w:rsidR="000D732C" w:rsidTr="000D732C">
        <w:trPr>
          <w:gridAfter w:val="2"/>
          <w:wAfter w:w="243" w:type="dxa"/>
          <w:trHeight w:val="300"/>
        </w:trPr>
        <w:tc>
          <w:tcPr>
            <w:tcW w:w="830" w:type="dxa"/>
            <w:noWrap/>
            <w:vAlign w:val="bottom"/>
          </w:tcPr>
          <w:p w:rsidR="000D732C" w:rsidRDefault="000D732C">
            <w:pPr>
              <w:rPr>
                <w:sz w:val="20"/>
                <w:szCs w:val="20"/>
              </w:rPr>
            </w:pPr>
          </w:p>
        </w:tc>
        <w:tc>
          <w:tcPr>
            <w:tcW w:w="3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Наименование показателя</w:t>
            </w:r>
          </w:p>
        </w:tc>
        <w:tc>
          <w:tcPr>
            <w:tcW w:w="11203" w:type="dxa"/>
            <w:gridSpan w:val="15"/>
            <w:tcBorders>
              <w:top w:val="single" w:sz="4" w:space="0" w:color="auto"/>
              <w:left w:val="nil"/>
              <w:bottom w:val="single" w:sz="4" w:space="0" w:color="auto"/>
              <w:right w:val="single" w:sz="4" w:space="0" w:color="auto"/>
            </w:tcBorders>
            <w:shd w:val="clear" w:color="auto" w:fill="FFFFFF"/>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Значения</w:t>
            </w:r>
          </w:p>
        </w:tc>
      </w:tr>
      <w:tr w:rsidR="000D732C" w:rsidTr="000D732C">
        <w:trPr>
          <w:gridAfter w:val="2"/>
          <w:wAfter w:w="243" w:type="dxa"/>
          <w:trHeight w:val="315"/>
        </w:trPr>
        <w:tc>
          <w:tcPr>
            <w:tcW w:w="830" w:type="dxa"/>
            <w:noWrap/>
            <w:vAlign w:val="bottom"/>
          </w:tcPr>
          <w:p w:rsidR="000D732C" w:rsidRDefault="000D732C">
            <w:pPr>
              <w:jc w:val="center"/>
              <w:rPr>
                <w:rFonts w:ascii="Calibri" w:hAnsi="Calibri" w:cs="Calibri"/>
                <w:color w:val="000000"/>
              </w:rPr>
            </w:pPr>
          </w:p>
        </w:tc>
        <w:tc>
          <w:tcPr>
            <w:tcW w:w="15185" w:type="dxa"/>
            <w:gridSpan w:val="16"/>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D732C" w:rsidRDefault="000D732C">
            <w:pPr>
              <w:jc w:val="center"/>
              <w:rPr>
                <w:rFonts w:ascii="Calibri" w:hAnsi="Calibri" w:cs="Calibri"/>
                <w:b/>
                <w:bCs/>
                <w:color w:val="000000"/>
              </w:rPr>
            </w:pPr>
            <w:r>
              <w:rPr>
                <w:rFonts w:ascii="Calibri" w:hAnsi="Calibri" w:cs="Calibri"/>
                <w:b/>
                <w:bCs/>
                <w:color w:val="000000"/>
              </w:rPr>
              <w:t>3. Анализ рентабельности капитала</w:t>
            </w:r>
          </w:p>
        </w:tc>
      </w:tr>
      <w:tr w:rsidR="000D732C" w:rsidTr="000D732C">
        <w:trPr>
          <w:gridAfter w:val="2"/>
          <w:wAfter w:w="243" w:type="dxa"/>
          <w:trHeight w:val="600"/>
        </w:trPr>
        <w:tc>
          <w:tcPr>
            <w:tcW w:w="830" w:type="dxa"/>
            <w:noWrap/>
            <w:vAlign w:val="bottom"/>
          </w:tcPr>
          <w:p w:rsidR="000D732C" w:rsidRDefault="000D732C">
            <w:pPr>
              <w:jc w:val="center"/>
              <w:rPr>
                <w:rFonts w:ascii="Calibri" w:hAnsi="Calibri" w:cs="Calibri"/>
                <w:b/>
                <w:bCs/>
                <w:color w:val="000000"/>
              </w:rPr>
            </w:pPr>
          </w:p>
        </w:tc>
        <w:tc>
          <w:tcPr>
            <w:tcW w:w="3982" w:type="dxa"/>
            <w:tcBorders>
              <w:top w:val="nil"/>
              <w:left w:val="single" w:sz="4" w:space="0" w:color="auto"/>
              <w:bottom w:val="single" w:sz="4" w:space="0" w:color="auto"/>
              <w:right w:val="single" w:sz="4" w:space="0" w:color="auto"/>
            </w:tcBorders>
            <w:shd w:val="clear" w:color="auto" w:fill="D9E1F2"/>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 xml:space="preserve">Показатель собственных оборотных средств (СОС) </w:t>
            </w:r>
          </w:p>
        </w:tc>
        <w:tc>
          <w:tcPr>
            <w:tcW w:w="1494" w:type="dxa"/>
            <w:tcBorders>
              <w:top w:val="nil"/>
              <w:left w:val="nil"/>
              <w:bottom w:val="single" w:sz="4" w:space="0" w:color="auto"/>
              <w:right w:val="single" w:sz="4" w:space="0" w:color="auto"/>
            </w:tcBorders>
            <w:shd w:val="clear" w:color="auto" w:fill="D9E1F2"/>
            <w:vAlign w:val="center"/>
          </w:tcPr>
          <w:p w:rsidR="000D732C" w:rsidRDefault="000D732C">
            <w:pPr>
              <w:jc w:val="center"/>
              <w:rPr>
                <w:rFonts w:ascii="Calibri" w:hAnsi="Calibri" w:cs="Calibri"/>
                <w:color w:val="000000"/>
              </w:rPr>
            </w:pPr>
          </w:p>
        </w:tc>
        <w:tc>
          <w:tcPr>
            <w:tcW w:w="1498" w:type="dxa"/>
            <w:tcBorders>
              <w:top w:val="nil"/>
              <w:left w:val="nil"/>
              <w:bottom w:val="single" w:sz="4" w:space="0" w:color="auto"/>
              <w:right w:val="single" w:sz="4" w:space="0" w:color="auto"/>
            </w:tcBorders>
            <w:shd w:val="clear" w:color="auto" w:fill="D9E1F2"/>
            <w:vAlign w:val="center"/>
          </w:tcPr>
          <w:p w:rsidR="000D732C" w:rsidRDefault="000D732C">
            <w:pPr>
              <w:jc w:val="center"/>
              <w:rPr>
                <w:rFonts w:ascii="Calibri" w:hAnsi="Calibri" w:cs="Calibri"/>
                <w:color w:val="000000"/>
              </w:rPr>
            </w:pPr>
          </w:p>
        </w:tc>
        <w:tc>
          <w:tcPr>
            <w:tcW w:w="1565" w:type="dxa"/>
            <w:tcBorders>
              <w:top w:val="nil"/>
              <w:left w:val="nil"/>
              <w:bottom w:val="single" w:sz="4" w:space="0" w:color="auto"/>
              <w:right w:val="single" w:sz="4" w:space="0" w:color="auto"/>
            </w:tcBorders>
            <w:shd w:val="clear" w:color="auto" w:fill="D9E1F2"/>
            <w:vAlign w:val="center"/>
          </w:tcPr>
          <w:p w:rsidR="000D732C" w:rsidRDefault="000D732C">
            <w:pPr>
              <w:jc w:val="center"/>
              <w:rPr>
                <w:rFonts w:ascii="Calibri" w:hAnsi="Calibri" w:cs="Calibri"/>
                <w:color w:val="000000"/>
              </w:rPr>
            </w:pPr>
          </w:p>
        </w:tc>
        <w:tc>
          <w:tcPr>
            <w:tcW w:w="1063" w:type="dxa"/>
            <w:tcBorders>
              <w:top w:val="nil"/>
              <w:left w:val="nil"/>
              <w:bottom w:val="single" w:sz="4" w:space="0" w:color="auto"/>
              <w:right w:val="single" w:sz="4" w:space="0" w:color="auto"/>
            </w:tcBorders>
            <w:shd w:val="clear" w:color="auto" w:fill="D9E1F2"/>
            <w:vAlign w:val="center"/>
          </w:tcPr>
          <w:p w:rsidR="000D732C" w:rsidRDefault="000D732C">
            <w:pPr>
              <w:jc w:val="center"/>
              <w:rPr>
                <w:rFonts w:ascii="Calibri" w:hAnsi="Calibri" w:cs="Calibri"/>
                <w:color w:val="000000"/>
              </w:rPr>
            </w:pPr>
          </w:p>
        </w:tc>
        <w:tc>
          <w:tcPr>
            <w:tcW w:w="1408" w:type="dxa"/>
            <w:gridSpan w:val="3"/>
            <w:tcBorders>
              <w:top w:val="nil"/>
              <w:left w:val="nil"/>
              <w:bottom w:val="single" w:sz="4" w:space="0" w:color="auto"/>
              <w:right w:val="single" w:sz="4" w:space="0" w:color="auto"/>
            </w:tcBorders>
            <w:shd w:val="clear" w:color="auto" w:fill="D9E1F2"/>
            <w:vAlign w:val="center"/>
          </w:tcPr>
          <w:p w:rsidR="000D732C" w:rsidRDefault="000D732C">
            <w:pPr>
              <w:jc w:val="center"/>
              <w:rPr>
                <w:rFonts w:ascii="Calibri" w:hAnsi="Calibri" w:cs="Calibri"/>
                <w:color w:val="000000"/>
              </w:rPr>
            </w:pPr>
          </w:p>
        </w:tc>
        <w:tc>
          <w:tcPr>
            <w:tcW w:w="1054" w:type="dxa"/>
            <w:gridSpan w:val="4"/>
            <w:tcBorders>
              <w:top w:val="nil"/>
              <w:left w:val="nil"/>
              <w:bottom w:val="single" w:sz="4" w:space="0" w:color="auto"/>
              <w:right w:val="single" w:sz="4" w:space="0" w:color="auto"/>
            </w:tcBorders>
            <w:shd w:val="clear" w:color="auto" w:fill="D9E1F2"/>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Изменение показателя</w:t>
            </w:r>
          </w:p>
        </w:tc>
        <w:tc>
          <w:tcPr>
            <w:tcW w:w="3121" w:type="dxa"/>
            <w:gridSpan w:val="4"/>
            <w:tcBorders>
              <w:top w:val="single" w:sz="4" w:space="0" w:color="auto"/>
              <w:left w:val="nil"/>
              <w:bottom w:val="single" w:sz="4" w:space="0" w:color="auto"/>
              <w:right w:val="single" w:sz="4" w:space="0" w:color="auto"/>
            </w:tcBorders>
            <w:shd w:val="clear" w:color="auto" w:fill="D9E1F2"/>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Изменение показателя</w:t>
            </w:r>
          </w:p>
        </w:tc>
      </w:tr>
      <w:tr w:rsidR="000D732C" w:rsidTr="000D732C">
        <w:trPr>
          <w:gridAfter w:val="2"/>
          <w:wAfter w:w="243" w:type="dxa"/>
          <w:trHeight w:val="1245"/>
        </w:trPr>
        <w:tc>
          <w:tcPr>
            <w:tcW w:w="830" w:type="dxa"/>
            <w:noWrap/>
            <w:vAlign w:val="bottom"/>
          </w:tcPr>
          <w:p w:rsidR="000D732C" w:rsidRDefault="000D732C">
            <w:pPr>
              <w:jc w:val="center"/>
              <w:rPr>
                <w:rFonts w:ascii="Calibri" w:hAnsi="Calibri" w:cs="Calibri"/>
                <w:color w:val="000000"/>
              </w:rPr>
            </w:pPr>
          </w:p>
        </w:tc>
        <w:tc>
          <w:tcPr>
            <w:tcW w:w="3982" w:type="dxa"/>
            <w:tcBorders>
              <w:top w:val="nil"/>
              <w:left w:val="single" w:sz="4" w:space="0" w:color="auto"/>
              <w:bottom w:val="single" w:sz="4" w:space="0" w:color="auto"/>
              <w:right w:val="single" w:sz="4" w:space="0" w:color="auto"/>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Рентабельность собственного капитала (ROE)</w:t>
            </w:r>
          </w:p>
        </w:tc>
        <w:tc>
          <w:tcPr>
            <w:tcW w:w="1494" w:type="dxa"/>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1498" w:type="dxa"/>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1565" w:type="dxa"/>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1063" w:type="dxa"/>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1408" w:type="dxa"/>
            <w:gridSpan w:val="3"/>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1054" w:type="dxa"/>
            <w:gridSpan w:val="4"/>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3121" w:type="dxa"/>
            <w:gridSpan w:val="4"/>
            <w:tcBorders>
              <w:top w:val="nil"/>
              <w:left w:val="nil"/>
              <w:bottom w:val="single" w:sz="4" w:space="0" w:color="auto"/>
              <w:right w:val="single" w:sz="4" w:space="0" w:color="auto"/>
            </w:tcBorders>
            <w:vAlign w:val="bottom"/>
            <w:hideMark/>
          </w:tcPr>
          <w:p w:rsidR="000D732C" w:rsidRDefault="000D732C">
            <w:pPr>
              <w:rPr>
                <w:rFonts w:ascii="Calibri" w:hAnsi="Calibri" w:cs="Calibri"/>
                <w:color w:val="000000"/>
              </w:rPr>
            </w:pPr>
            <w:r>
              <w:rPr>
                <w:rFonts w:ascii="Calibri" w:hAnsi="Calibri" w:cs="Calibri"/>
                <w:color w:val="000000"/>
                <w:sz w:val="22"/>
                <w:szCs w:val="22"/>
              </w:rPr>
              <w:t xml:space="preserve">Отношение чистой прибыли к средней величине собственного капитала. Нормальное значение: 13% и более. </w:t>
            </w:r>
          </w:p>
        </w:tc>
      </w:tr>
      <w:tr w:rsidR="000D732C" w:rsidTr="000D732C">
        <w:trPr>
          <w:gridAfter w:val="2"/>
          <w:wAfter w:w="243" w:type="dxa"/>
          <w:trHeight w:val="1320"/>
        </w:trPr>
        <w:tc>
          <w:tcPr>
            <w:tcW w:w="830" w:type="dxa"/>
            <w:noWrap/>
            <w:vAlign w:val="bottom"/>
          </w:tcPr>
          <w:p w:rsidR="000D732C" w:rsidRDefault="000D732C">
            <w:pPr>
              <w:rPr>
                <w:rFonts w:ascii="Calibri" w:hAnsi="Calibri" w:cs="Calibri"/>
                <w:color w:val="000000"/>
              </w:rPr>
            </w:pPr>
          </w:p>
        </w:tc>
        <w:tc>
          <w:tcPr>
            <w:tcW w:w="3982" w:type="dxa"/>
            <w:tcBorders>
              <w:top w:val="nil"/>
              <w:left w:val="single" w:sz="4" w:space="0" w:color="auto"/>
              <w:bottom w:val="single" w:sz="4" w:space="0" w:color="auto"/>
              <w:right w:val="single" w:sz="4" w:space="0" w:color="auto"/>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Рентабельность активов (ROA)</w:t>
            </w:r>
          </w:p>
        </w:tc>
        <w:tc>
          <w:tcPr>
            <w:tcW w:w="1494" w:type="dxa"/>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1498" w:type="dxa"/>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1565" w:type="dxa"/>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1063" w:type="dxa"/>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1408" w:type="dxa"/>
            <w:gridSpan w:val="3"/>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1054" w:type="dxa"/>
            <w:gridSpan w:val="4"/>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3121" w:type="dxa"/>
            <w:gridSpan w:val="4"/>
            <w:tcBorders>
              <w:top w:val="single" w:sz="4" w:space="0" w:color="auto"/>
              <w:left w:val="nil"/>
              <w:bottom w:val="single" w:sz="4" w:space="0" w:color="auto"/>
              <w:right w:val="single" w:sz="4" w:space="0" w:color="auto"/>
            </w:tcBorders>
            <w:vAlign w:val="bottom"/>
            <w:hideMark/>
          </w:tcPr>
          <w:p w:rsidR="000D732C" w:rsidRDefault="000D732C">
            <w:pPr>
              <w:rPr>
                <w:rFonts w:ascii="Calibri" w:hAnsi="Calibri" w:cs="Calibri"/>
                <w:color w:val="000000"/>
              </w:rPr>
            </w:pPr>
            <w:r>
              <w:rPr>
                <w:rFonts w:ascii="Calibri" w:hAnsi="Calibri" w:cs="Calibri"/>
                <w:color w:val="000000"/>
                <w:sz w:val="22"/>
                <w:szCs w:val="22"/>
              </w:rPr>
              <w:t>Отношение чистой прибыли к средней стоимости активов. Нормальное значение: не менее 4%.</w:t>
            </w:r>
          </w:p>
        </w:tc>
      </w:tr>
      <w:tr w:rsidR="000D732C" w:rsidTr="000D732C">
        <w:trPr>
          <w:gridAfter w:val="2"/>
          <w:wAfter w:w="243" w:type="dxa"/>
          <w:trHeight w:val="915"/>
        </w:trPr>
        <w:tc>
          <w:tcPr>
            <w:tcW w:w="830" w:type="dxa"/>
            <w:noWrap/>
            <w:vAlign w:val="bottom"/>
          </w:tcPr>
          <w:p w:rsidR="000D732C" w:rsidRDefault="000D732C">
            <w:pPr>
              <w:rPr>
                <w:rFonts w:ascii="Calibri" w:hAnsi="Calibri" w:cs="Calibri"/>
                <w:color w:val="000000"/>
              </w:rPr>
            </w:pPr>
          </w:p>
        </w:tc>
        <w:tc>
          <w:tcPr>
            <w:tcW w:w="3982" w:type="dxa"/>
            <w:tcBorders>
              <w:top w:val="nil"/>
              <w:left w:val="single" w:sz="4" w:space="0" w:color="auto"/>
              <w:bottom w:val="single" w:sz="4" w:space="0" w:color="auto"/>
              <w:right w:val="single" w:sz="4" w:space="0" w:color="auto"/>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 xml:space="preserve">Рентабельность производственных фондов </w:t>
            </w:r>
          </w:p>
        </w:tc>
        <w:tc>
          <w:tcPr>
            <w:tcW w:w="1494" w:type="dxa"/>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1498" w:type="dxa"/>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1565" w:type="dxa"/>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1063" w:type="dxa"/>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1408" w:type="dxa"/>
            <w:gridSpan w:val="3"/>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1054" w:type="dxa"/>
            <w:gridSpan w:val="4"/>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3121" w:type="dxa"/>
            <w:gridSpan w:val="4"/>
            <w:tcBorders>
              <w:top w:val="single" w:sz="4" w:space="0" w:color="auto"/>
              <w:left w:val="nil"/>
              <w:bottom w:val="single" w:sz="4" w:space="0" w:color="auto"/>
              <w:right w:val="single" w:sz="4" w:space="0" w:color="auto"/>
            </w:tcBorders>
            <w:vAlign w:val="bottom"/>
            <w:hideMark/>
          </w:tcPr>
          <w:p w:rsidR="000D732C" w:rsidRDefault="000D732C">
            <w:pPr>
              <w:rPr>
                <w:rFonts w:ascii="Calibri" w:hAnsi="Calibri" w:cs="Calibri"/>
                <w:color w:val="000000"/>
              </w:rPr>
            </w:pPr>
            <w:r>
              <w:rPr>
                <w:rFonts w:ascii="Calibri" w:hAnsi="Calibri" w:cs="Calibri"/>
                <w:color w:val="000000"/>
                <w:sz w:val="22"/>
                <w:szCs w:val="22"/>
              </w:rPr>
              <w:t xml:space="preserve">Отношение прибыли от продаж к средней стоимости основных средств и материально-производственных запасов. </w:t>
            </w:r>
          </w:p>
        </w:tc>
      </w:tr>
      <w:tr w:rsidR="000D732C" w:rsidTr="000D732C">
        <w:trPr>
          <w:gridAfter w:val="2"/>
          <w:wAfter w:w="243" w:type="dxa"/>
          <w:trHeight w:val="600"/>
        </w:trPr>
        <w:tc>
          <w:tcPr>
            <w:tcW w:w="830" w:type="dxa"/>
            <w:noWrap/>
            <w:vAlign w:val="bottom"/>
          </w:tcPr>
          <w:p w:rsidR="000D732C" w:rsidRDefault="000D732C">
            <w:pPr>
              <w:rPr>
                <w:rFonts w:ascii="Calibri" w:hAnsi="Calibri" w:cs="Calibri"/>
                <w:color w:val="000000"/>
              </w:rPr>
            </w:pPr>
          </w:p>
        </w:tc>
        <w:tc>
          <w:tcPr>
            <w:tcW w:w="3982" w:type="dxa"/>
            <w:tcBorders>
              <w:top w:val="nil"/>
              <w:left w:val="single" w:sz="4" w:space="0" w:color="auto"/>
              <w:bottom w:val="single" w:sz="4" w:space="0" w:color="auto"/>
              <w:right w:val="single" w:sz="4" w:space="0" w:color="auto"/>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 xml:space="preserve">Фондоотдача, </w:t>
            </w:r>
            <w:proofErr w:type="spellStart"/>
            <w:r>
              <w:rPr>
                <w:rFonts w:ascii="Arial" w:hAnsi="Arial" w:cs="Arial"/>
                <w:color w:val="000000"/>
                <w:sz w:val="20"/>
                <w:szCs w:val="20"/>
              </w:rPr>
              <w:t>коэфф</w:t>
            </w:r>
            <w:proofErr w:type="spellEnd"/>
            <w:r>
              <w:rPr>
                <w:rFonts w:ascii="Arial" w:hAnsi="Arial" w:cs="Arial"/>
                <w:color w:val="000000"/>
                <w:sz w:val="20"/>
                <w:szCs w:val="20"/>
              </w:rPr>
              <w:t>.</w:t>
            </w:r>
          </w:p>
        </w:tc>
        <w:tc>
          <w:tcPr>
            <w:tcW w:w="1494" w:type="dxa"/>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1498" w:type="dxa"/>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1565" w:type="dxa"/>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1063" w:type="dxa"/>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1408" w:type="dxa"/>
            <w:gridSpan w:val="3"/>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1054" w:type="dxa"/>
            <w:gridSpan w:val="4"/>
            <w:tcBorders>
              <w:top w:val="nil"/>
              <w:left w:val="nil"/>
              <w:bottom w:val="single" w:sz="4" w:space="0" w:color="auto"/>
              <w:right w:val="single" w:sz="4" w:space="0" w:color="auto"/>
            </w:tcBorders>
            <w:noWrap/>
            <w:vAlign w:val="center"/>
          </w:tcPr>
          <w:p w:rsidR="000D732C" w:rsidRDefault="000D732C">
            <w:pPr>
              <w:jc w:val="center"/>
              <w:rPr>
                <w:rFonts w:ascii="Calibri" w:hAnsi="Calibri" w:cs="Calibri"/>
                <w:color w:val="000000"/>
              </w:rPr>
            </w:pPr>
          </w:p>
        </w:tc>
        <w:tc>
          <w:tcPr>
            <w:tcW w:w="3121" w:type="dxa"/>
            <w:gridSpan w:val="4"/>
            <w:tcBorders>
              <w:top w:val="single" w:sz="4" w:space="0" w:color="auto"/>
              <w:left w:val="nil"/>
              <w:bottom w:val="single" w:sz="4" w:space="0" w:color="auto"/>
              <w:right w:val="single" w:sz="4" w:space="0" w:color="auto"/>
            </w:tcBorders>
            <w:vAlign w:val="bottom"/>
            <w:hideMark/>
          </w:tcPr>
          <w:p w:rsidR="000D732C" w:rsidRDefault="000D732C">
            <w:pPr>
              <w:rPr>
                <w:rFonts w:ascii="Calibri" w:hAnsi="Calibri" w:cs="Calibri"/>
                <w:color w:val="000000"/>
              </w:rPr>
            </w:pPr>
            <w:r>
              <w:rPr>
                <w:rFonts w:ascii="Calibri" w:hAnsi="Calibri" w:cs="Calibri"/>
                <w:color w:val="000000"/>
                <w:sz w:val="22"/>
                <w:szCs w:val="22"/>
              </w:rPr>
              <w:t xml:space="preserve">Отношение выручки к средней стоимости основных средств. </w:t>
            </w:r>
          </w:p>
        </w:tc>
      </w:tr>
      <w:tr w:rsidR="000D732C" w:rsidTr="000D732C">
        <w:trPr>
          <w:trHeight w:val="300"/>
        </w:trPr>
        <w:tc>
          <w:tcPr>
            <w:tcW w:w="830" w:type="dxa"/>
            <w:noWrap/>
            <w:vAlign w:val="bottom"/>
          </w:tcPr>
          <w:p w:rsidR="000D732C" w:rsidRDefault="000D732C">
            <w:pPr>
              <w:rPr>
                <w:sz w:val="20"/>
                <w:szCs w:val="20"/>
              </w:rPr>
            </w:pPr>
          </w:p>
        </w:tc>
        <w:tc>
          <w:tcPr>
            <w:tcW w:w="3982" w:type="dxa"/>
            <w:noWrap/>
            <w:vAlign w:val="bottom"/>
          </w:tcPr>
          <w:p w:rsidR="000D732C" w:rsidRDefault="000D732C">
            <w:pPr>
              <w:rPr>
                <w:sz w:val="20"/>
                <w:szCs w:val="20"/>
              </w:rPr>
            </w:pPr>
          </w:p>
        </w:tc>
        <w:tc>
          <w:tcPr>
            <w:tcW w:w="1494" w:type="dxa"/>
            <w:noWrap/>
            <w:vAlign w:val="bottom"/>
          </w:tcPr>
          <w:p w:rsidR="000D732C" w:rsidRDefault="000D732C">
            <w:pPr>
              <w:rPr>
                <w:sz w:val="20"/>
                <w:szCs w:val="20"/>
              </w:rPr>
            </w:pPr>
          </w:p>
        </w:tc>
        <w:tc>
          <w:tcPr>
            <w:tcW w:w="1498" w:type="dxa"/>
            <w:noWrap/>
            <w:vAlign w:val="bottom"/>
          </w:tcPr>
          <w:p w:rsidR="000D732C" w:rsidRDefault="000D732C">
            <w:pPr>
              <w:rPr>
                <w:sz w:val="20"/>
                <w:szCs w:val="20"/>
              </w:rPr>
            </w:pPr>
          </w:p>
        </w:tc>
        <w:tc>
          <w:tcPr>
            <w:tcW w:w="1565" w:type="dxa"/>
            <w:noWrap/>
            <w:vAlign w:val="bottom"/>
          </w:tcPr>
          <w:p w:rsidR="000D732C" w:rsidRDefault="000D732C">
            <w:pPr>
              <w:rPr>
                <w:sz w:val="20"/>
                <w:szCs w:val="20"/>
              </w:rPr>
            </w:pPr>
          </w:p>
        </w:tc>
        <w:tc>
          <w:tcPr>
            <w:tcW w:w="1063" w:type="dxa"/>
            <w:noWrap/>
            <w:vAlign w:val="bottom"/>
          </w:tcPr>
          <w:p w:rsidR="000D732C" w:rsidRDefault="000D732C">
            <w:pPr>
              <w:rPr>
                <w:sz w:val="20"/>
                <w:szCs w:val="20"/>
              </w:rPr>
            </w:pPr>
          </w:p>
        </w:tc>
        <w:tc>
          <w:tcPr>
            <w:tcW w:w="1408" w:type="dxa"/>
            <w:gridSpan w:val="3"/>
            <w:noWrap/>
            <w:vAlign w:val="bottom"/>
          </w:tcPr>
          <w:p w:rsidR="000D732C" w:rsidRDefault="000D732C">
            <w:pPr>
              <w:rPr>
                <w:sz w:val="20"/>
                <w:szCs w:val="20"/>
              </w:rPr>
            </w:pPr>
          </w:p>
        </w:tc>
        <w:tc>
          <w:tcPr>
            <w:tcW w:w="1054" w:type="dxa"/>
            <w:gridSpan w:val="4"/>
            <w:noWrap/>
            <w:vAlign w:val="bottom"/>
          </w:tcPr>
          <w:p w:rsidR="000D732C" w:rsidRDefault="000D732C">
            <w:pPr>
              <w:rPr>
                <w:sz w:val="20"/>
                <w:szCs w:val="20"/>
              </w:rPr>
            </w:pPr>
          </w:p>
        </w:tc>
        <w:tc>
          <w:tcPr>
            <w:tcW w:w="1417" w:type="dxa"/>
            <w:gridSpan w:val="3"/>
            <w:noWrap/>
            <w:vAlign w:val="bottom"/>
          </w:tcPr>
          <w:p w:rsidR="000D732C" w:rsidRDefault="000D732C">
            <w:pPr>
              <w:rPr>
                <w:sz w:val="20"/>
                <w:szCs w:val="2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r w:rsidR="000D732C" w:rsidTr="000D732C">
        <w:trPr>
          <w:gridAfter w:val="1"/>
          <w:wAfter w:w="7" w:type="dxa"/>
          <w:trHeight w:val="300"/>
        </w:trPr>
        <w:tc>
          <w:tcPr>
            <w:tcW w:w="830" w:type="dxa"/>
            <w:noWrap/>
            <w:vAlign w:val="bottom"/>
          </w:tcPr>
          <w:p w:rsidR="000D732C" w:rsidRDefault="000D732C">
            <w:pPr>
              <w:rPr>
                <w:sz w:val="20"/>
                <w:szCs w:val="20"/>
              </w:rPr>
            </w:pPr>
          </w:p>
        </w:tc>
        <w:tc>
          <w:tcPr>
            <w:tcW w:w="3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Наименование показателя</w:t>
            </w:r>
          </w:p>
        </w:tc>
        <w:tc>
          <w:tcPr>
            <w:tcW w:w="9499" w:type="dxa"/>
            <w:gridSpan w:val="14"/>
            <w:tcBorders>
              <w:top w:val="single" w:sz="4" w:space="0" w:color="auto"/>
              <w:left w:val="nil"/>
              <w:bottom w:val="nil"/>
              <w:right w:val="single" w:sz="4" w:space="0" w:color="000000"/>
            </w:tcBorders>
            <w:shd w:val="clear" w:color="auto" w:fill="FFFFFF"/>
            <w:vAlign w:val="center"/>
            <w:hideMark/>
          </w:tcPr>
          <w:p w:rsidR="000D732C" w:rsidRDefault="000D732C">
            <w:pPr>
              <w:jc w:val="center"/>
              <w:rPr>
                <w:rFonts w:ascii="Calibri" w:hAnsi="Calibri" w:cs="Calibri"/>
                <w:color w:val="000000"/>
              </w:rPr>
            </w:pPr>
            <w:r>
              <w:rPr>
                <w:rFonts w:ascii="Calibri" w:hAnsi="Calibri" w:cs="Calibri"/>
                <w:color w:val="000000"/>
                <w:sz w:val="22"/>
                <w:szCs w:val="22"/>
              </w:rPr>
              <w:t>Значения</w:t>
            </w:r>
          </w:p>
        </w:tc>
        <w:tc>
          <w:tcPr>
            <w:tcW w:w="1704" w:type="dxa"/>
            <w:noWrap/>
            <w:vAlign w:val="bottom"/>
          </w:tcPr>
          <w:p w:rsidR="000D732C" w:rsidRDefault="000D732C">
            <w:pPr>
              <w:jc w:val="center"/>
              <w:rPr>
                <w:rFonts w:ascii="Calibri" w:hAnsi="Calibri" w:cs="Calibri"/>
                <w:color w:val="000000"/>
              </w:rPr>
            </w:pPr>
          </w:p>
        </w:tc>
        <w:tc>
          <w:tcPr>
            <w:tcW w:w="236" w:type="dxa"/>
            <w:noWrap/>
            <w:vAlign w:val="bottom"/>
          </w:tcPr>
          <w:p w:rsidR="000D732C" w:rsidRDefault="000D732C">
            <w:pPr>
              <w:rPr>
                <w:sz w:val="20"/>
                <w:szCs w:val="20"/>
              </w:rPr>
            </w:pPr>
          </w:p>
        </w:tc>
      </w:tr>
      <w:tr w:rsidR="000D732C" w:rsidTr="000D732C">
        <w:trPr>
          <w:gridAfter w:val="1"/>
          <w:wAfter w:w="7" w:type="dxa"/>
          <w:trHeight w:val="315"/>
        </w:trPr>
        <w:tc>
          <w:tcPr>
            <w:tcW w:w="830" w:type="dxa"/>
            <w:noWrap/>
            <w:vAlign w:val="bottom"/>
          </w:tcPr>
          <w:p w:rsidR="000D732C" w:rsidRDefault="000D732C">
            <w:pPr>
              <w:rPr>
                <w:sz w:val="20"/>
                <w:szCs w:val="20"/>
              </w:rPr>
            </w:pPr>
          </w:p>
        </w:tc>
        <w:tc>
          <w:tcPr>
            <w:tcW w:w="13481" w:type="dxa"/>
            <w:gridSpan w:val="15"/>
            <w:tcBorders>
              <w:top w:val="nil"/>
              <w:left w:val="single" w:sz="4" w:space="0" w:color="auto"/>
              <w:bottom w:val="nil"/>
              <w:right w:val="single" w:sz="4" w:space="0" w:color="000000"/>
            </w:tcBorders>
            <w:shd w:val="clear" w:color="auto" w:fill="D9E1F2"/>
            <w:noWrap/>
            <w:vAlign w:val="center"/>
            <w:hideMark/>
          </w:tcPr>
          <w:p w:rsidR="000D732C" w:rsidRDefault="000D732C">
            <w:pPr>
              <w:jc w:val="center"/>
              <w:rPr>
                <w:rFonts w:ascii="Calibri" w:hAnsi="Calibri" w:cs="Calibri"/>
                <w:b/>
                <w:bCs/>
                <w:color w:val="000000"/>
              </w:rPr>
            </w:pPr>
            <w:r>
              <w:rPr>
                <w:rFonts w:ascii="Calibri" w:hAnsi="Calibri" w:cs="Calibri"/>
                <w:b/>
                <w:bCs/>
                <w:color w:val="000000"/>
              </w:rPr>
              <w:t>4. Расчет коэффициента риска невозврата займа</w:t>
            </w:r>
          </w:p>
        </w:tc>
        <w:tc>
          <w:tcPr>
            <w:tcW w:w="1704" w:type="dxa"/>
            <w:noWrap/>
            <w:vAlign w:val="bottom"/>
          </w:tcPr>
          <w:p w:rsidR="000D732C" w:rsidRDefault="000D732C">
            <w:pPr>
              <w:jc w:val="center"/>
              <w:rPr>
                <w:rFonts w:ascii="Calibri" w:hAnsi="Calibri" w:cs="Calibri"/>
                <w:b/>
                <w:bCs/>
                <w:color w:val="000000"/>
              </w:rPr>
            </w:pPr>
          </w:p>
        </w:tc>
        <w:tc>
          <w:tcPr>
            <w:tcW w:w="236" w:type="dxa"/>
            <w:noWrap/>
            <w:vAlign w:val="bottom"/>
          </w:tcPr>
          <w:p w:rsidR="000D732C" w:rsidRDefault="000D732C">
            <w:pPr>
              <w:rPr>
                <w:sz w:val="20"/>
                <w:szCs w:val="20"/>
              </w:rPr>
            </w:pPr>
          </w:p>
        </w:tc>
      </w:tr>
      <w:tr w:rsidR="000D732C" w:rsidTr="000D732C">
        <w:trPr>
          <w:trHeight w:val="510"/>
        </w:trPr>
        <w:tc>
          <w:tcPr>
            <w:tcW w:w="830" w:type="dxa"/>
            <w:noWrap/>
            <w:vAlign w:val="bottom"/>
          </w:tcPr>
          <w:p w:rsidR="000D732C" w:rsidRDefault="000D732C">
            <w:pPr>
              <w:rPr>
                <w:sz w:val="20"/>
                <w:szCs w:val="20"/>
              </w:rPr>
            </w:pPr>
          </w:p>
        </w:tc>
        <w:tc>
          <w:tcPr>
            <w:tcW w:w="3982" w:type="dxa"/>
            <w:vMerge w:val="restart"/>
            <w:tcBorders>
              <w:top w:val="single" w:sz="4" w:space="0" w:color="auto"/>
              <w:left w:val="single" w:sz="4" w:space="0" w:color="auto"/>
              <w:bottom w:val="single" w:sz="4" w:space="0" w:color="000000"/>
              <w:right w:val="single" w:sz="4" w:space="0" w:color="000000"/>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Показатель</w:t>
            </w:r>
          </w:p>
        </w:tc>
        <w:tc>
          <w:tcPr>
            <w:tcW w:w="1494" w:type="dxa"/>
            <w:vMerge w:val="restart"/>
            <w:tcBorders>
              <w:top w:val="single" w:sz="4" w:space="0" w:color="auto"/>
              <w:left w:val="single" w:sz="4" w:space="0" w:color="000000"/>
              <w:bottom w:val="single" w:sz="4" w:space="0" w:color="000000"/>
              <w:right w:val="single" w:sz="4" w:space="0" w:color="000000"/>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Вес показателя</w:t>
            </w:r>
          </w:p>
        </w:tc>
        <w:tc>
          <w:tcPr>
            <w:tcW w:w="3063" w:type="dxa"/>
            <w:gridSpan w:val="2"/>
            <w:tcBorders>
              <w:top w:val="single" w:sz="4" w:space="0" w:color="auto"/>
              <w:left w:val="single" w:sz="4" w:space="0" w:color="000000"/>
              <w:bottom w:val="nil"/>
              <w:right w:val="single" w:sz="4" w:space="0" w:color="000000"/>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Показатели</w:t>
            </w:r>
          </w:p>
        </w:tc>
        <w:tc>
          <w:tcPr>
            <w:tcW w:w="2486" w:type="dxa"/>
            <w:gridSpan w:val="5"/>
            <w:tcBorders>
              <w:top w:val="single" w:sz="4" w:space="0" w:color="auto"/>
              <w:left w:val="nil"/>
              <w:bottom w:val="single" w:sz="4" w:space="0" w:color="000000"/>
              <w:right w:val="nil"/>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Оценка</w:t>
            </w:r>
          </w:p>
        </w:tc>
        <w:tc>
          <w:tcPr>
            <w:tcW w:w="1039" w:type="dxa"/>
            <w:gridSpan w:val="3"/>
            <w:tcBorders>
              <w:top w:val="single" w:sz="4" w:space="0" w:color="000000"/>
              <w:left w:val="single" w:sz="4" w:space="0" w:color="000000"/>
              <w:bottom w:val="nil"/>
              <w:right w:val="single" w:sz="4" w:space="0" w:color="000000"/>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Средняя оценка</w:t>
            </w:r>
          </w:p>
        </w:tc>
        <w:tc>
          <w:tcPr>
            <w:tcW w:w="1417" w:type="dxa"/>
            <w:gridSpan w:val="3"/>
            <w:tcBorders>
              <w:top w:val="single" w:sz="4" w:space="0" w:color="000000"/>
              <w:left w:val="nil"/>
              <w:bottom w:val="nil"/>
              <w:right w:val="single" w:sz="4" w:space="0" w:color="auto"/>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Оценка с учетом веса</w:t>
            </w:r>
          </w:p>
        </w:tc>
        <w:tc>
          <w:tcPr>
            <w:tcW w:w="1704" w:type="dxa"/>
            <w:noWrap/>
            <w:vAlign w:val="bottom"/>
          </w:tcPr>
          <w:p w:rsidR="000D732C" w:rsidRDefault="000D732C">
            <w:pPr>
              <w:jc w:val="center"/>
              <w:rPr>
                <w:rFonts w:ascii="Arial" w:hAnsi="Arial" w:cs="Arial"/>
                <w:color w:val="000000"/>
                <w:sz w:val="20"/>
                <w:szCs w:val="20"/>
              </w:rPr>
            </w:pPr>
          </w:p>
        </w:tc>
        <w:tc>
          <w:tcPr>
            <w:tcW w:w="243" w:type="dxa"/>
            <w:gridSpan w:val="2"/>
            <w:noWrap/>
            <w:vAlign w:val="bottom"/>
          </w:tcPr>
          <w:p w:rsidR="000D732C" w:rsidRDefault="000D732C">
            <w:pPr>
              <w:rPr>
                <w:sz w:val="20"/>
                <w:szCs w:val="20"/>
              </w:rPr>
            </w:pPr>
          </w:p>
        </w:tc>
      </w:tr>
      <w:tr w:rsidR="000D732C" w:rsidTr="000D732C">
        <w:trPr>
          <w:trHeight w:val="735"/>
        </w:trPr>
        <w:tc>
          <w:tcPr>
            <w:tcW w:w="830" w:type="dxa"/>
            <w:noWrap/>
            <w:vAlign w:val="bottom"/>
          </w:tcPr>
          <w:p w:rsidR="000D732C" w:rsidRDefault="000D732C">
            <w:pPr>
              <w:rPr>
                <w:sz w:val="20"/>
                <w:szCs w:val="20"/>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0D732C" w:rsidRDefault="000D732C">
            <w:pPr>
              <w:rPr>
                <w:rFonts w:ascii="Arial" w:hAnsi="Arial" w:cs="Arial"/>
                <w:color w:val="000000"/>
                <w:sz w:val="20"/>
                <w:szCs w:val="20"/>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0D732C" w:rsidRDefault="000D732C">
            <w:pPr>
              <w:rPr>
                <w:rFonts w:ascii="Arial" w:hAnsi="Arial" w:cs="Arial"/>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vAlign w:val="center"/>
          </w:tcPr>
          <w:p w:rsidR="000D732C" w:rsidRDefault="000D732C">
            <w:pPr>
              <w:jc w:val="center"/>
              <w:rPr>
                <w:rFonts w:ascii="Arial" w:hAnsi="Arial" w:cs="Arial"/>
                <w:color w:val="000000"/>
                <w:sz w:val="20"/>
                <w:szCs w:val="20"/>
              </w:rPr>
            </w:pPr>
          </w:p>
        </w:tc>
        <w:tc>
          <w:tcPr>
            <w:tcW w:w="1565" w:type="dxa"/>
            <w:tcBorders>
              <w:top w:val="single" w:sz="4" w:space="0" w:color="auto"/>
              <w:left w:val="nil"/>
              <w:bottom w:val="single" w:sz="4" w:space="0" w:color="auto"/>
              <w:right w:val="single" w:sz="4" w:space="0" w:color="auto"/>
            </w:tcBorders>
            <w:vAlign w:val="center"/>
          </w:tcPr>
          <w:p w:rsidR="000D732C" w:rsidRDefault="000D732C">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color w:val="000000"/>
                <w:sz w:val="20"/>
                <w:szCs w:val="20"/>
              </w:rPr>
            </w:pPr>
          </w:p>
        </w:tc>
        <w:tc>
          <w:tcPr>
            <w:tcW w:w="1408" w:type="dxa"/>
            <w:gridSpan w:val="3"/>
            <w:tcBorders>
              <w:top w:val="nil"/>
              <w:left w:val="nil"/>
              <w:bottom w:val="single" w:sz="4" w:space="0" w:color="000000"/>
              <w:right w:val="single" w:sz="4" w:space="0" w:color="000000"/>
            </w:tcBorders>
            <w:vAlign w:val="center"/>
          </w:tcPr>
          <w:p w:rsidR="000D732C" w:rsidRDefault="000D732C">
            <w:pPr>
              <w:jc w:val="center"/>
              <w:rPr>
                <w:rFonts w:ascii="Arial" w:hAnsi="Arial" w:cs="Arial"/>
                <w:color w:val="000000"/>
                <w:sz w:val="20"/>
                <w:szCs w:val="20"/>
              </w:rPr>
            </w:pPr>
          </w:p>
        </w:tc>
        <w:tc>
          <w:tcPr>
            <w:tcW w:w="1054" w:type="dxa"/>
            <w:gridSpan w:val="4"/>
            <w:tcBorders>
              <w:top w:val="nil"/>
              <w:left w:val="nil"/>
              <w:bottom w:val="single" w:sz="4" w:space="0" w:color="000000"/>
              <w:right w:val="single" w:sz="4" w:space="0" w:color="000000"/>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 </w:t>
            </w:r>
          </w:p>
        </w:tc>
        <w:tc>
          <w:tcPr>
            <w:tcW w:w="1417" w:type="dxa"/>
            <w:gridSpan w:val="3"/>
            <w:tcBorders>
              <w:top w:val="nil"/>
              <w:left w:val="nil"/>
              <w:bottom w:val="single" w:sz="4" w:space="0" w:color="000000"/>
              <w:right w:val="single" w:sz="4" w:space="0" w:color="auto"/>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 </w:t>
            </w:r>
          </w:p>
        </w:tc>
        <w:tc>
          <w:tcPr>
            <w:tcW w:w="1704" w:type="dxa"/>
            <w:noWrap/>
            <w:vAlign w:val="bottom"/>
          </w:tcPr>
          <w:p w:rsidR="000D732C" w:rsidRDefault="000D732C">
            <w:pPr>
              <w:jc w:val="center"/>
              <w:rPr>
                <w:rFonts w:ascii="Arial" w:hAnsi="Arial" w:cs="Arial"/>
                <w:color w:val="000000"/>
                <w:sz w:val="20"/>
                <w:szCs w:val="20"/>
              </w:rPr>
            </w:pPr>
          </w:p>
        </w:tc>
        <w:tc>
          <w:tcPr>
            <w:tcW w:w="243" w:type="dxa"/>
            <w:gridSpan w:val="2"/>
            <w:noWrap/>
            <w:vAlign w:val="bottom"/>
          </w:tcPr>
          <w:p w:rsidR="000D732C" w:rsidRDefault="000D732C">
            <w:pPr>
              <w:rPr>
                <w:sz w:val="20"/>
                <w:szCs w:val="20"/>
              </w:rPr>
            </w:pPr>
          </w:p>
        </w:tc>
      </w:tr>
      <w:tr w:rsidR="000D732C" w:rsidTr="000D732C">
        <w:trPr>
          <w:trHeight w:val="510"/>
        </w:trPr>
        <w:tc>
          <w:tcPr>
            <w:tcW w:w="830" w:type="dxa"/>
            <w:noWrap/>
            <w:vAlign w:val="bottom"/>
          </w:tcPr>
          <w:p w:rsidR="000D732C" w:rsidRDefault="000D732C">
            <w:pPr>
              <w:rPr>
                <w:sz w:val="20"/>
                <w:szCs w:val="20"/>
              </w:rPr>
            </w:pPr>
          </w:p>
        </w:tc>
        <w:tc>
          <w:tcPr>
            <w:tcW w:w="3982" w:type="dxa"/>
            <w:tcBorders>
              <w:top w:val="nil"/>
              <w:left w:val="single" w:sz="4" w:space="0" w:color="auto"/>
              <w:bottom w:val="single" w:sz="4" w:space="0" w:color="000000"/>
              <w:right w:val="single" w:sz="4" w:space="0" w:color="000000"/>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Рентабельность реализованной продукции по чистой прибыли</w:t>
            </w:r>
          </w:p>
        </w:tc>
        <w:tc>
          <w:tcPr>
            <w:tcW w:w="1494" w:type="dxa"/>
            <w:tcBorders>
              <w:top w:val="nil"/>
              <w:left w:val="nil"/>
              <w:bottom w:val="single" w:sz="4" w:space="0" w:color="000000"/>
              <w:right w:val="single" w:sz="4" w:space="0" w:color="000000"/>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0,15</w:t>
            </w:r>
          </w:p>
        </w:tc>
        <w:tc>
          <w:tcPr>
            <w:tcW w:w="1498"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417" w:type="dxa"/>
            <w:gridSpan w:val="3"/>
            <w:tcBorders>
              <w:top w:val="nil"/>
              <w:left w:val="nil"/>
              <w:bottom w:val="single" w:sz="4" w:space="0" w:color="000000"/>
              <w:right w:val="single" w:sz="4" w:space="0" w:color="auto"/>
            </w:tcBorders>
            <w:vAlign w:val="center"/>
          </w:tcPr>
          <w:p w:rsidR="000D732C" w:rsidRDefault="000D732C">
            <w:pPr>
              <w:jc w:val="center"/>
              <w:rPr>
                <w:rFonts w:ascii="Arial" w:hAnsi="Arial" w:cs="Arial"/>
                <w:sz w:val="20"/>
                <w:szCs w:val="20"/>
              </w:rPr>
            </w:pPr>
          </w:p>
        </w:tc>
        <w:tc>
          <w:tcPr>
            <w:tcW w:w="1704" w:type="dxa"/>
            <w:noWrap/>
            <w:vAlign w:val="bottom"/>
          </w:tcPr>
          <w:p w:rsidR="000D732C" w:rsidRDefault="000D732C">
            <w:pPr>
              <w:jc w:val="center"/>
              <w:rPr>
                <w:rFonts w:ascii="Arial" w:hAnsi="Arial" w:cs="Arial"/>
                <w:sz w:val="20"/>
                <w:szCs w:val="20"/>
              </w:rPr>
            </w:pPr>
          </w:p>
        </w:tc>
        <w:tc>
          <w:tcPr>
            <w:tcW w:w="243" w:type="dxa"/>
            <w:gridSpan w:val="2"/>
            <w:noWrap/>
            <w:vAlign w:val="bottom"/>
          </w:tcPr>
          <w:p w:rsidR="000D732C" w:rsidRDefault="000D732C">
            <w:pPr>
              <w:rPr>
                <w:sz w:val="20"/>
                <w:szCs w:val="20"/>
              </w:rPr>
            </w:pPr>
          </w:p>
        </w:tc>
      </w:tr>
      <w:tr w:rsidR="000D732C" w:rsidTr="000D732C">
        <w:trPr>
          <w:trHeight w:val="585"/>
        </w:trPr>
        <w:tc>
          <w:tcPr>
            <w:tcW w:w="830" w:type="dxa"/>
            <w:noWrap/>
            <w:vAlign w:val="bottom"/>
          </w:tcPr>
          <w:p w:rsidR="000D732C" w:rsidRDefault="000D732C">
            <w:pPr>
              <w:rPr>
                <w:sz w:val="20"/>
                <w:szCs w:val="20"/>
              </w:rPr>
            </w:pPr>
          </w:p>
        </w:tc>
        <w:tc>
          <w:tcPr>
            <w:tcW w:w="3982" w:type="dxa"/>
            <w:tcBorders>
              <w:top w:val="nil"/>
              <w:left w:val="single" w:sz="4" w:space="0" w:color="auto"/>
              <w:bottom w:val="single" w:sz="4" w:space="0" w:color="000000"/>
              <w:right w:val="single" w:sz="4" w:space="0" w:color="000000"/>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Рентабельность активов</w:t>
            </w:r>
          </w:p>
        </w:tc>
        <w:tc>
          <w:tcPr>
            <w:tcW w:w="1494" w:type="dxa"/>
            <w:tcBorders>
              <w:top w:val="nil"/>
              <w:left w:val="nil"/>
              <w:bottom w:val="single" w:sz="4" w:space="0" w:color="000000"/>
              <w:right w:val="single" w:sz="4" w:space="0" w:color="000000"/>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0,15</w:t>
            </w:r>
          </w:p>
        </w:tc>
        <w:tc>
          <w:tcPr>
            <w:tcW w:w="1498"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417" w:type="dxa"/>
            <w:gridSpan w:val="3"/>
            <w:tcBorders>
              <w:top w:val="nil"/>
              <w:left w:val="nil"/>
              <w:bottom w:val="single" w:sz="4" w:space="0" w:color="000000"/>
              <w:right w:val="single" w:sz="4" w:space="0" w:color="auto"/>
            </w:tcBorders>
            <w:vAlign w:val="center"/>
          </w:tcPr>
          <w:p w:rsidR="000D732C" w:rsidRDefault="000D732C">
            <w:pPr>
              <w:jc w:val="center"/>
              <w:rPr>
                <w:rFonts w:ascii="Arial" w:hAnsi="Arial" w:cs="Arial"/>
                <w:sz w:val="20"/>
                <w:szCs w:val="20"/>
              </w:rPr>
            </w:pPr>
          </w:p>
        </w:tc>
        <w:tc>
          <w:tcPr>
            <w:tcW w:w="1704" w:type="dxa"/>
            <w:noWrap/>
            <w:vAlign w:val="bottom"/>
          </w:tcPr>
          <w:p w:rsidR="000D732C" w:rsidRDefault="000D732C">
            <w:pPr>
              <w:jc w:val="center"/>
              <w:rPr>
                <w:rFonts w:ascii="Arial" w:hAnsi="Arial" w:cs="Arial"/>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tcBorders>
              <w:top w:val="nil"/>
              <w:left w:val="single" w:sz="4" w:space="0" w:color="auto"/>
              <w:bottom w:val="single" w:sz="4" w:space="0" w:color="000000"/>
              <w:right w:val="single" w:sz="4" w:space="0" w:color="000000"/>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Финансовая автономия</w:t>
            </w:r>
          </w:p>
        </w:tc>
        <w:tc>
          <w:tcPr>
            <w:tcW w:w="1494" w:type="dxa"/>
            <w:tcBorders>
              <w:top w:val="nil"/>
              <w:left w:val="nil"/>
              <w:bottom w:val="single" w:sz="4" w:space="0" w:color="000000"/>
              <w:right w:val="single" w:sz="4" w:space="0" w:color="000000"/>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0,1</w:t>
            </w:r>
          </w:p>
        </w:tc>
        <w:tc>
          <w:tcPr>
            <w:tcW w:w="1498"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417" w:type="dxa"/>
            <w:gridSpan w:val="3"/>
            <w:tcBorders>
              <w:top w:val="nil"/>
              <w:left w:val="nil"/>
              <w:bottom w:val="single" w:sz="4" w:space="0" w:color="000000"/>
              <w:right w:val="single" w:sz="4" w:space="0" w:color="auto"/>
            </w:tcBorders>
            <w:vAlign w:val="center"/>
          </w:tcPr>
          <w:p w:rsidR="000D732C" w:rsidRDefault="000D732C">
            <w:pPr>
              <w:jc w:val="center"/>
              <w:rPr>
                <w:rFonts w:ascii="Arial" w:hAnsi="Arial" w:cs="Arial"/>
                <w:sz w:val="20"/>
                <w:szCs w:val="20"/>
              </w:rPr>
            </w:pPr>
          </w:p>
        </w:tc>
        <w:tc>
          <w:tcPr>
            <w:tcW w:w="1704" w:type="dxa"/>
            <w:noWrap/>
            <w:vAlign w:val="bottom"/>
          </w:tcPr>
          <w:p w:rsidR="000D732C" w:rsidRDefault="000D732C">
            <w:pPr>
              <w:jc w:val="center"/>
              <w:rPr>
                <w:rFonts w:ascii="Arial" w:hAnsi="Arial" w:cs="Arial"/>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tcBorders>
              <w:top w:val="nil"/>
              <w:left w:val="single" w:sz="4" w:space="0" w:color="auto"/>
              <w:bottom w:val="single" w:sz="4" w:space="0" w:color="000000"/>
              <w:right w:val="single" w:sz="4" w:space="0" w:color="000000"/>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Текущая ликвидность</w:t>
            </w:r>
          </w:p>
        </w:tc>
        <w:tc>
          <w:tcPr>
            <w:tcW w:w="1494" w:type="dxa"/>
            <w:tcBorders>
              <w:top w:val="nil"/>
              <w:left w:val="nil"/>
              <w:bottom w:val="single" w:sz="4" w:space="0" w:color="000000"/>
              <w:right w:val="single" w:sz="4" w:space="0" w:color="000000"/>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0,1</w:t>
            </w:r>
          </w:p>
        </w:tc>
        <w:tc>
          <w:tcPr>
            <w:tcW w:w="1498"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417" w:type="dxa"/>
            <w:gridSpan w:val="3"/>
            <w:tcBorders>
              <w:top w:val="nil"/>
              <w:left w:val="nil"/>
              <w:bottom w:val="single" w:sz="4" w:space="0" w:color="000000"/>
              <w:right w:val="single" w:sz="4" w:space="0" w:color="auto"/>
            </w:tcBorders>
            <w:vAlign w:val="center"/>
          </w:tcPr>
          <w:p w:rsidR="000D732C" w:rsidRDefault="000D732C">
            <w:pPr>
              <w:jc w:val="center"/>
              <w:rPr>
                <w:rFonts w:ascii="Arial" w:hAnsi="Arial" w:cs="Arial"/>
                <w:sz w:val="20"/>
                <w:szCs w:val="20"/>
              </w:rPr>
            </w:pPr>
          </w:p>
        </w:tc>
        <w:tc>
          <w:tcPr>
            <w:tcW w:w="1704" w:type="dxa"/>
            <w:noWrap/>
            <w:vAlign w:val="bottom"/>
          </w:tcPr>
          <w:p w:rsidR="000D732C" w:rsidRDefault="000D732C">
            <w:pPr>
              <w:jc w:val="center"/>
              <w:rPr>
                <w:rFonts w:ascii="Arial" w:hAnsi="Arial" w:cs="Arial"/>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tcBorders>
              <w:top w:val="nil"/>
              <w:left w:val="single" w:sz="4" w:space="0" w:color="auto"/>
              <w:bottom w:val="single" w:sz="4" w:space="0" w:color="000000"/>
              <w:right w:val="single" w:sz="4" w:space="0" w:color="000000"/>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Прирост сбыта (без НДС)</w:t>
            </w:r>
          </w:p>
        </w:tc>
        <w:tc>
          <w:tcPr>
            <w:tcW w:w="1494" w:type="dxa"/>
            <w:tcBorders>
              <w:top w:val="nil"/>
              <w:left w:val="nil"/>
              <w:bottom w:val="single" w:sz="4" w:space="0" w:color="000000"/>
              <w:right w:val="single" w:sz="4" w:space="0" w:color="000000"/>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0,1</w:t>
            </w:r>
          </w:p>
        </w:tc>
        <w:tc>
          <w:tcPr>
            <w:tcW w:w="1498"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417" w:type="dxa"/>
            <w:gridSpan w:val="3"/>
            <w:tcBorders>
              <w:top w:val="nil"/>
              <w:left w:val="nil"/>
              <w:bottom w:val="single" w:sz="4" w:space="0" w:color="000000"/>
              <w:right w:val="single" w:sz="4" w:space="0" w:color="auto"/>
            </w:tcBorders>
            <w:vAlign w:val="center"/>
          </w:tcPr>
          <w:p w:rsidR="000D732C" w:rsidRDefault="000D732C">
            <w:pPr>
              <w:jc w:val="center"/>
              <w:rPr>
                <w:rFonts w:ascii="Arial" w:hAnsi="Arial" w:cs="Arial"/>
                <w:sz w:val="20"/>
                <w:szCs w:val="20"/>
              </w:rPr>
            </w:pPr>
          </w:p>
        </w:tc>
        <w:tc>
          <w:tcPr>
            <w:tcW w:w="1704" w:type="dxa"/>
            <w:noWrap/>
            <w:vAlign w:val="bottom"/>
          </w:tcPr>
          <w:p w:rsidR="000D732C" w:rsidRDefault="000D732C">
            <w:pPr>
              <w:jc w:val="center"/>
              <w:rPr>
                <w:rFonts w:ascii="Arial" w:hAnsi="Arial" w:cs="Arial"/>
                <w:sz w:val="20"/>
                <w:szCs w:val="20"/>
              </w:rPr>
            </w:pPr>
          </w:p>
        </w:tc>
        <w:tc>
          <w:tcPr>
            <w:tcW w:w="243" w:type="dxa"/>
            <w:gridSpan w:val="2"/>
            <w:noWrap/>
            <w:vAlign w:val="bottom"/>
          </w:tcPr>
          <w:p w:rsidR="000D732C" w:rsidRDefault="000D732C">
            <w:pPr>
              <w:rPr>
                <w:sz w:val="20"/>
                <w:szCs w:val="20"/>
              </w:rPr>
            </w:pPr>
          </w:p>
        </w:tc>
      </w:tr>
      <w:tr w:rsidR="000D732C" w:rsidTr="000D732C">
        <w:trPr>
          <w:trHeight w:val="510"/>
        </w:trPr>
        <w:tc>
          <w:tcPr>
            <w:tcW w:w="830" w:type="dxa"/>
            <w:noWrap/>
            <w:vAlign w:val="bottom"/>
          </w:tcPr>
          <w:p w:rsidR="000D732C" w:rsidRDefault="000D732C">
            <w:pPr>
              <w:rPr>
                <w:sz w:val="20"/>
                <w:szCs w:val="20"/>
              </w:rPr>
            </w:pPr>
          </w:p>
        </w:tc>
        <w:tc>
          <w:tcPr>
            <w:tcW w:w="3982" w:type="dxa"/>
            <w:tcBorders>
              <w:top w:val="nil"/>
              <w:left w:val="single" w:sz="4" w:space="0" w:color="auto"/>
              <w:bottom w:val="single" w:sz="4" w:space="0" w:color="000000"/>
              <w:right w:val="single" w:sz="4" w:space="0" w:color="000000"/>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Рентабельность реализованной продукции по прибыли от продаж</w:t>
            </w:r>
          </w:p>
        </w:tc>
        <w:tc>
          <w:tcPr>
            <w:tcW w:w="1494" w:type="dxa"/>
            <w:tcBorders>
              <w:top w:val="nil"/>
              <w:left w:val="nil"/>
              <w:bottom w:val="single" w:sz="4" w:space="0" w:color="000000"/>
              <w:right w:val="single" w:sz="4" w:space="0" w:color="000000"/>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0,1</w:t>
            </w:r>
          </w:p>
        </w:tc>
        <w:tc>
          <w:tcPr>
            <w:tcW w:w="1498"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417" w:type="dxa"/>
            <w:gridSpan w:val="3"/>
            <w:tcBorders>
              <w:top w:val="nil"/>
              <w:left w:val="nil"/>
              <w:bottom w:val="single" w:sz="4" w:space="0" w:color="000000"/>
              <w:right w:val="single" w:sz="4" w:space="0" w:color="auto"/>
            </w:tcBorders>
            <w:vAlign w:val="center"/>
          </w:tcPr>
          <w:p w:rsidR="000D732C" w:rsidRDefault="000D732C">
            <w:pPr>
              <w:jc w:val="center"/>
              <w:rPr>
                <w:rFonts w:ascii="Arial" w:hAnsi="Arial" w:cs="Arial"/>
                <w:sz w:val="20"/>
                <w:szCs w:val="20"/>
              </w:rPr>
            </w:pPr>
          </w:p>
        </w:tc>
        <w:tc>
          <w:tcPr>
            <w:tcW w:w="1704" w:type="dxa"/>
            <w:noWrap/>
            <w:vAlign w:val="bottom"/>
          </w:tcPr>
          <w:p w:rsidR="000D732C" w:rsidRDefault="000D732C">
            <w:pPr>
              <w:jc w:val="center"/>
              <w:rPr>
                <w:rFonts w:ascii="Arial" w:hAnsi="Arial" w:cs="Arial"/>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tcBorders>
              <w:top w:val="nil"/>
              <w:left w:val="single" w:sz="4" w:space="0" w:color="auto"/>
              <w:bottom w:val="nil"/>
              <w:right w:val="single" w:sz="4" w:space="0" w:color="000000"/>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Прирост собственного капитала</w:t>
            </w:r>
          </w:p>
        </w:tc>
        <w:tc>
          <w:tcPr>
            <w:tcW w:w="1494" w:type="dxa"/>
            <w:tcBorders>
              <w:top w:val="nil"/>
              <w:left w:val="nil"/>
              <w:bottom w:val="single" w:sz="4" w:space="0" w:color="000000"/>
              <w:right w:val="single" w:sz="4" w:space="0" w:color="000000"/>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0,1</w:t>
            </w:r>
          </w:p>
        </w:tc>
        <w:tc>
          <w:tcPr>
            <w:tcW w:w="1498"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417" w:type="dxa"/>
            <w:gridSpan w:val="3"/>
            <w:tcBorders>
              <w:top w:val="nil"/>
              <w:left w:val="nil"/>
              <w:bottom w:val="single" w:sz="4" w:space="0" w:color="000000"/>
              <w:right w:val="single" w:sz="4" w:space="0" w:color="auto"/>
            </w:tcBorders>
            <w:vAlign w:val="center"/>
          </w:tcPr>
          <w:p w:rsidR="000D732C" w:rsidRDefault="000D732C">
            <w:pPr>
              <w:jc w:val="center"/>
              <w:rPr>
                <w:rFonts w:ascii="Arial" w:hAnsi="Arial" w:cs="Arial"/>
                <w:sz w:val="20"/>
                <w:szCs w:val="20"/>
              </w:rPr>
            </w:pPr>
          </w:p>
        </w:tc>
        <w:tc>
          <w:tcPr>
            <w:tcW w:w="1704" w:type="dxa"/>
            <w:noWrap/>
            <w:vAlign w:val="bottom"/>
          </w:tcPr>
          <w:p w:rsidR="000D732C" w:rsidRDefault="000D732C">
            <w:pPr>
              <w:jc w:val="center"/>
              <w:rPr>
                <w:rFonts w:ascii="Arial" w:hAnsi="Arial" w:cs="Arial"/>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tcBorders>
              <w:top w:val="single" w:sz="4" w:space="0" w:color="000000"/>
              <w:left w:val="single" w:sz="4" w:space="0" w:color="auto"/>
              <w:bottom w:val="nil"/>
              <w:right w:val="single" w:sz="4" w:space="0" w:color="000000"/>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Быстрая ликвидность</w:t>
            </w:r>
          </w:p>
        </w:tc>
        <w:tc>
          <w:tcPr>
            <w:tcW w:w="1494" w:type="dxa"/>
            <w:tcBorders>
              <w:top w:val="nil"/>
              <w:left w:val="nil"/>
              <w:bottom w:val="single" w:sz="4" w:space="0" w:color="000000"/>
              <w:right w:val="single" w:sz="4" w:space="0" w:color="000000"/>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0,05</w:t>
            </w:r>
          </w:p>
        </w:tc>
        <w:tc>
          <w:tcPr>
            <w:tcW w:w="1498"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417" w:type="dxa"/>
            <w:gridSpan w:val="3"/>
            <w:tcBorders>
              <w:top w:val="nil"/>
              <w:left w:val="nil"/>
              <w:bottom w:val="single" w:sz="4" w:space="0" w:color="000000"/>
              <w:right w:val="single" w:sz="4" w:space="0" w:color="auto"/>
            </w:tcBorders>
            <w:vAlign w:val="center"/>
          </w:tcPr>
          <w:p w:rsidR="000D732C" w:rsidRDefault="000D732C">
            <w:pPr>
              <w:jc w:val="center"/>
              <w:rPr>
                <w:rFonts w:ascii="Arial" w:hAnsi="Arial" w:cs="Arial"/>
                <w:sz w:val="20"/>
                <w:szCs w:val="20"/>
              </w:rPr>
            </w:pPr>
          </w:p>
        </w:tc>
        <w:tc>
          <w:tcPr>
            <w:tcW w:w="1704" w:type="dxa"/>
            <w:noWrap/>
            <w:vAlign w:val="bottom"/>
          </w:tcPr>
          <w:p w:rsidR="000D732C" w:rsidRDefault="000D732C">
            <w:pPr>
              <w:jc w:val="center"/>
              <w:rPr>
                <w:rFonts w:ascii="Arial" w:hAnsi="Arial" w:cs="Arial"/>
                <w:sz w:val="20"/>
                <w:szCs w:val="20"/>
              </w:rPr>
            </w:pPr>
          </w:p>
        </w:tc>
        <w:tc>
          <w:tcPr>
            <w:tcW w:w="243" w:type="dxa"/>
            <w:gridSpan w:val="2"/>
            <w:noWrap/>
            <w:vAlign w:val="bottom"/>
          </w:tcPr>
          <w:p w:rsidR="000D732C" w:rsidRDefault="000D732C">
            <w:pPr>
              <w:rPr>
                <w:sz w:val="20"/>
                <w:szCs w:val="20"/>
              </w:rPr>
            </w:pPr>
          </w:p>
        </w:tc>
      </w:tr>
      <w:tr w:rsidR="000D732C" w:rsidTr="000D732C">
        <w:trPr>
          <w:trHeight w:val="510"/>
        </w:trPr>
        <w:tc>
          <w:tcPr>
            <w:tcW w:w="830" w:type="dxa"/>
            <w:noWrap/>
            <w:vAlign w:val="bottom"/>
          </w:tcPr>
          <w:p w:rsidR="000D732C" w:rsidRDefault="000D732C">
            <w:pPr>
              <w:rPr>
                <w:sz w:val="20"/>
                <w:szCs w:val="20"/>
              </w:rPr>
            </w:pPr>
          </w:p>
        </w:tc>
        <w:tc>
          <w:tcPr>
            <w:tcW w:w="3982" w:type="dxa"/>
            <w:tcBorders>
              <w:top w:val="single" w:sz="4" w:space="0" w:color="000000"/>
              <w:left w:val="single" w:sz="4" w:space="0" w:color="auto"/>
              <w:bottom w:val="nil"/>
              <w:right w:val="single" w:sz="4" w:space="0" w:color="000000"/>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Коэффициент обеспечения оборотных активов собственными средствами</w:t>
            </w:r>
          </w:p>
        </w:tc>
        <w:tc>
          <w:tcPr>
            <w:tcW w:w="1494" w:type="dxa"/>
            <w:tcBorders>
              <w:top w:val="nil"/>
              <w:left w:val="nil"/>
              <w:bottom w:val="single" w:sz="4" w:space="0" w:color="000000"/>
              <w:right w:val="single" w:sz="4" w:space="0" w:color="000000"/>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0,05</w:t>
            </w:r>
          </w:p>
        </w:tc>
        <w:tc>
          <w:tcPr>
            <w:tcW w:w="1498"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417" w:type="dxa"/>
            <w:gridSpan w:val="3"/>
            <w:tcBorders>
              <w:top w:val="nil"/>
              <w:left w:val="nil"/>
              <w:bottom w:val="single" w:sz="4" w:space="0" w:color="000000"/>
              <w:right w:val="single" w:sz="4" w:space="0" w:color="auto"/>
            </w:tcBorders>
            <w:vAlign w:val="center"/>
          </w:tcPr>
          <w:p w:rsidR="000D732C" w:rsidRDefault="000D732C">
            <w:pPr>
              <w:jc w:val="center"/>
              <w:rPr>
                <w:rFonts w:ascii="Arial" w:hAnsi="Arial" w:cs="Arial"/>
                <w:sz w:val="20"/>
                <w:szCs w:val="20"/>
              </w:rPr>
            </w:pPr>
          </w:p>
        </w:tc>
        <w:tc>
          <w:tcPr>
            <w:tcW w:w="1704" w:type="dxa"/>
            <w:noWrap/>
            <w:vAlign w:val="bottom"/>
          </w:tcPr>
          <w:p w:rsidR="000D732C" w:rsidRDefault="000D732C">
            <w:pPr>
              <w:jc w:val="center"/>
              <w:rPr>
                <w:rFonts w:ascii="Arial" w:hAnsi="Arial" w:cs="Arial"/>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tcBorders>
              <w:top w:val="single" w:sz="4" w:space="0" w:color="000000"/>
              <w:left w:val="single" w:sz="4" w:space="0" w:color="auto"/>
              <w:bottom w:val="nil"/>
              <w:right w:val="single" w:sz="4" w:space="0" w:color="000000"/>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Коэффициент финансовой устойчивости</w:t>
            </w:r>
          </w:p>
        </w:tc>
        <w:tc>
          <w:tcPr>
            <w:tcW w:w="1494" w:type="dxa"/>
            <w:tcBorders>
              <w:top w:val="nil"/>
              <w:left w:val="nil"/>
              <w:bottom w:val="single" w:sz="4" w:space="0" w:color="000000"/>
              <w:right w:val="single" w:sz="4" w:space="0" w:color="000000"/>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0,05</w:t>
            </w:r>
          </w:p>
        </w:tc>
        <w:tc>
          <w:tcPr>
            <w:tcW w:w="1498"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color w:val="000000"/>
                <w:sz w:val="20"/>
                <w:szCs w:val="20"/>
              </w:rPr>
            </w:pPr>
          </w:p>
        </w:tc>
        <w:tc>
          <w:tcPr>
            <w:tcW w:w="1565"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color w:val="000000"/>
                <w:sz w:val="20"/>
                <w:szCs w:val="20"/>
              </w:rPr>
            </w:pPr>
          </w:p>
        </w:tc>
        <w:tc>
          <w:tcPr>
            <w:tcW w:w="1063" w:type="dxa"/>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417" w:type="dxa"/>
            <w:gridSpan w:val="3"/>
            <w:tcBorders>
              <w:top w:val="nil"/>
              <w:left w:val="nil"/>
              <w:bottom w:val="single" w:sz="4" w:space="0" w:color="000000"/>
              <w:right w:val="single" w:sz="4" w:space="0" w:color="auto"/>
            </w:tcBorders>
            <w:vAlign w:val="center"/>
          </w:tcPr>
          <w:p w:rsidR="000D732C" w:rsidRDefault="000D732C">
            <w:pPr>
              <w:jc w:val="center"/>
              <w:rPr>
                <w:rFonts w:ascii="Arial" w:hAnsi="Arial" w:cs="Arial"/>
                <w:sz w:val="20"/>
                <w:szCs w:val="20"/>
              </w:rPr>
            </w:pPr>
          </w:p>
        </w:tc>
        <w:tc>
          <w:tcPr>
            <w:tcW w:w="1704" w:type="dxa"/>
            <w:noWrap/>
            <w:vAlign w:val="bottom"/>
          </w:tcPr>
          <w:p w:rsidR="000D732C" w:rsidRDefault="000D732C">
            <w:pPr>
              <w:jc w:val="center"/>
              <w:rPr>
                <w:rFonts w:ascii="Arial" w:hAnsi="Arial" w:cs="Arial"/>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tcBorders>
              <w:top w:val="single" w:sz="4" w:space="0" w:color="000000"/>
              <w:left w:val="single" w:sz="4" w:space="0" w:color="auto"/>
              <w:bottom w:val="nil"/>
              <w:right w:val="single" w:sz="4" w:space="0" w:color="000000"/>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Коэффициент абсолютной ликвидности</w:t>
            </w:r>
          </w:p>
        </w:tc>
        <w:tc>
          <w:tcPr>
            <w:tcW w:w="1494" w:type="dxa"/>
            <w:tcBorders>
              <w:top w:val="nil"/>
              <w:left w:val="nil"/>
              <w:bottom w:val="nil"/>
              <w:right w:val="single" w:sz="4" w:space="0" w:color="000000"/>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0,05</w:t>
            </w:r>
          </w:p>
        </w:tc>
        <w:tc>
          <w:tcPr>
            <w:tcW w:w="1498" w:type="dxa"/>
            <w:vAlign w:val="center"/>
          </w:tcPr>
          <w:p w:rsidR="000D732C" w:rsidRDefault="000D732C">
            <w:pPr>
              <w:jc w:val="center"/>
              <w:rPr>
                <w:rFonts w:ascii="Arial" w:hAnsi="Arial" w:cs="Arial"/>
                <w:color w:val="000000"/>
                <w:sz w:val="20"/>
                <w:szCs w:val="20"/>
              </w:rPr>
            </w:pPr>
          </w:p>
        </w:tc>
        <w:tc>
          <w:tcPr>
            <w:tcW w:w="1565" w:type="dxa"/>
            <w:tcBorders>
              <w:top w:val="nil"/>
              <w:left w:val="single" w:sz="4" w:space="0" w:color="000000"/>
              <w:bottom w:val="nil"/>
              <w:right w:val="nil"/>
            </w:tcBorders>
            <w:vAlign w:val="center"/>
          </w:tcPr>
          <w:p w:rsidR="000D732C" w:rsidRDefault="000D732C">
            <w:pPr>
              <w:jc w:val="center"/>
              <w:rPr>
                <w:rFonts w:ascii="Arial" w:hAnsi="Arial" w:cs="Arial"/>
                <w:color w:val="000000"/>
                <w:sz w:val="20"/>
                <w:szCs w:val="20"/>
              </w:rPr>
            </w:pPr>
          </w:p>
        </w:tc>
        <w:tc>
          <w:tcPr>
            <w:tcW w:w="1063" w:type="dxa"/>
            <w:tcBorders>
              <w:top w:val="nil"/>
              <w:left w:val="single" w:sz="4" w:space="0" w:color="000000"/>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408" w:type="dxa"/>
            <w:gridSpan w:val="3"/>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054" w:type="dxa"/>
            <w:gridSpan w:val="4"/>
            <w:tcBorders>
              <w:top w:val="nil"/>
              <w:left w:val="nil"/>
              <w:bottom w:val="single" w:sz="4" w:space="0" w:color="000000"/>
              <w:right w:val="single" w:sz="4" w:space="0" w:color="000000"/>
            </w:tcBorders>
            <w:vAlign w:val="center"/>
          </w:tcPr>
          <w:p w:rsidR="000D732C" w:rsidRDefault="000D732C">
            <w:pPr>
              <w:jc w:val="center"/>
              <w:rPr>
                <w:rFonts w:ascii="Arial" w:hAnsi="Arial" w:cs="Arial"/>
                <w:sz w:val="20"/>
                <w:szCs w:val="20"/>
              </w:rPr>
            </w:pPr>
          </w:p>
        </w:tc>
        <w:tc>
          <w:tcPr>
            <w:tcW w:w="1417" w:type="dxa"/>
            <w:gridSpan w:val="3"/>
            <w:tcBorders>
              <w:top w:val="nil"/>
              <w:left w:val="nil"/>
              <w:bottom w:val="single" w:sz="4" w:space="0" w:color="000000"/>
              <w:right w:val="single" w:sz="4" w:space="0" w:color="auto"/>
            </w:tcBorders>
            <w:vAlign w:val="center"/>
          </w:tcPr>
          <w:p w:rsidR="000D732C" w:rsidRDefault="000D732C">
            <w:pPr>
              <w:jc w:val="center"/>
              <w:rPr>
                <w:rFonts w:ascii="Arial" w:hAnsi="Arial" w:cs="Arial"/>
                <w:sz w:val="20"/>
                <w:szCs w:val="20"/>
              </w:rPr>
            </w:pPr>
          </w:p>
        </w:tc>
        <w:tc>
          <w:tcPr>
            <w:tcW w:w="1704" w:type="dxa"/>
            <w:noWrap/>
            <w:vAlign w:val="bottom"/>
          </w:tcPr>
          <w:p w:rsidR="000D732C" w:rsidRDefault="000D732C">
            <w:pPr>
              <w:jc w:val="center"/>
              <w:rPr>
                <w:rFonts w:ascii="Arial" w:hAnsi="Arial" w:cs="Arial"/>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tcBorders>
              <w:top w:val="single" w:sz="4" w:space="0" w:color="000000"/>
              <w:left w:val="single" w:sz="4" w:space="0" w:color="auto"/>
              <w:bottom w:val="single" w:sz="4" w:space="0" w:color="auto"/>
              <w:right w:val="single" w:sz="4" w:space="0" w:color="000000"/>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Итого</w:t>
            </w:r>
          </w:p>
        </w:tc>
        <w:tc>
          <w:tcPr>
            <w:tcW w:w="1494" w:type="dxa"/>
            <w:tcBorders>
              <w:top w:val="single" w:sz="4" w:space="0" w:color="000000"/>
              <w:left w:val="nil"/>
              <w:bottom w:val="single" w:sz="4" w:space="0" w:color="auto"/>
              <w:right w:val="single" w:sz="4" w:space="0" w:color="000000"/>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1</w:t>
            </w:r>
          </w:p>
        </w:tc>
        <w:tc>
          <w:tcPr>
            <w:tcW w:w="4137" w:type="dxa"/>
            <w:gridSpan w:val="4"/>
            <w:tcBorders>
              <w:top w:val="single" w:sz="4" w:space="0" w:color="000000"/>
              <w:left w:val="nil"/>
              <w:bottom w:val="single" w:sz="4" w:space="0" w:color="auto"/>
              <w:right w:val="nil"/>
            </w:tcBorders>
            <w:vAlign w:val="center"/>
            <w:hideMark/>
          </w:tcPr>
          <w:p w:rsidR="000D732C" w:rsidRDefault="000D732C">
            <w:pPr>
              <w:jc w:val="center"/>
              <w:rPr>
                <w:rFonts w:ascii="Arial" w:hAnsi="Arial" w:cs="Arial"/>
                <w:b/>
                <w:bCs/>
                <w:color w:val="000000"/>
                <w:sz w:val="20"/>
                <w:szCs w:val="20"/>
              </w:rPr>
            </w:pPr>
            <w:r>
              <w:rPr>
                <w:rFonts w:ascii="Arial" w:hAnsi="Arial" w:cs="Arial"/>
                <w:b/>
                <w:bCs/>
                <w:color w:val="000000"/>
                <w:sz w:val="20"/>
                <w:szCs w:val="20"/>
              </w:rPr>
              <w:t>Итоговая оценка:</w:t>
            </w:r>
          </w:p>
        </w:tc>
        <w:tc>
          <w:tcPr>
            <w:tcW w:w="1412" w:type="dxa"/>
            <w:gridSpan w:val="3"/>
            <w:tcBorders>
              <w:top w:val="nil"/>
              <w:left w:val="nil"/>
              <w:bottom w:val="single" w:sz="4" w:space="0" w:color="auto"/>
              <w:right w:val="single" w:sz="4" w:space="0" w:color="auto"/>
            </w:tcBorders>
            <w:vAlign w:val="center"/>
            <w:hideMark/>
          </w:tcPr>
          <w:p w:rsidR="000D732C" w:rsidRDefault="000D732C">
            <w:pPr>
              <w:rPr>
                <w:rFonts w:ascii="Arial" w:hAnsi="Arial" w:cs="Arial"/>
                <w:b/>
                <w:bCs/>
                <w:color w:val="000000"/>
                <w:sz w:val="20"/>
                <w:szCs w:val="20"/>
              </w:rPr>
            </w:pPr>
            <w:r>
              <w:rPr>
                <w:rFonts w:ascii="Arial" w:hAnsi="Arial" w:cs="Arial"/>
                <w:b/>
                <w:bCs/>
                <w:color w:val="000000"/>
                <w:sz w:val="20"/>
                <w:szCs w:val="20"/>
              </w:rPr>
              <w:t> </w:t>
            </w:r>
          </w:p>
        </w:tc>
        <w:tc>
          <w:tcPr>
            <w:tcW w:w="1039" w:type="dxa"/>
            <w:gridSpan w:val="3"/>
            <w:tcBorders>
              <w:top w:val="nil"/>
              <w:left w:val="nil"/>
              <w:bottom w:val="single" w:sz="4" w:space="0" w:color="000000"/>
              <w:right w:val="single" w:sz="4" w:space="0" w:color="000000"/>
            </w:tcBorders>
            <w:vAlign w:val="center"/>
            <w:hideMark/>
          </w:tcPr>
          <w:p w:rsidR="000D732C" w:rsidRDefault="000D732C">
            <w:pPr>
              <w:jc w:val="center"/>
              <w:rPr>
                <w:rFonts w:ascii="Arial" w:hAnsi="Arial" w:cs="Arial"/>
                <w:color w:val="FF0000"/>
                <w:sz w:val="20"/>
                <w:szCs w:val="20"/>
              </w:rPr>
            </w:pPr>
            <w:r>
              <w:rPr>
                <w:rFonts w:ascii="Arial" w:hAnsi="Arial" w:cs="Arial"/>
                <w:color w:val="FF0000"/>
                <w:sz w:val="20"/>
                <w:szCs w:val="20"/>
              </w:rPr>
              <w:t> </w:t>
            </w:r>
          </w:p>
        </w:tc>
        <w:tc>
          <w:tcPr>
            <w:tcW w:w="1417" w:type="dxa"/>
            <w:gridSpan w:val="3"/>
            <w:tcBorders>
              <w:top w:val="nil"/>
              <w:left w:val="nil"/>
              <w:bottom w:val="single" w:sz="4" w:space="0" w:color="auto"/>
              <w:right w:val="single" w:sz="4" w:space="0" w:color="auto"/>
            </w:tcBorders>
            <w:noWrap/>
            <w:vAlign w:val="bottom"/>
          </w:tcPr>
          <w:p w:rsidR="000D732C" w:rsidRDefault="000D732C">
            <w:pPr>
              <w:jc w:val="center"/>
              <w:rPr>
                <w:rFonts w:ascii="Calibri" w:hAnsi="Calibri" w:cs="Calibri"/>
                <w:color w:val="000000"/>
              </w:rPr>
            </w:pPr>
          </w:p>
        </w:tc>
        <w:tc>
          <w:tcPr>
            <w:tcW w:w="1704" w:type="dxa"/>
            <w:noWrap/>
            <w:vAlign w:val="bottom"/>
          </w:tcPr>
          <w:p w:rsidR="000D732C" w:rsidRDefault="000D732C">
            <w:pPr>
              <w:jc w:val="center"/>
              <w:rPr>
                <w:rFonts w:ascii="Calibri" w:hAnsi="Calibri" w:cs="Calibri"/>
                <w:color w:val="00000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noWrap/>
            <w:vAlign w:val="bottom"/>
          </w:tcPr>
          <w:p w:rsidR="000D732C" w:rsidRDefault="000D732C">
            <w:pPr>
              <w:rPr>
                <w:sz w:val="20"/>
                <w:szCs w:val="20"/>
              </w:rPr>
            </w:pPr>
          </w:p>
        </w:tc>
        <w:tc>
          <w:tcPr>
            <w:tcW w:w="1494" w:type="dxa"/>
            <w:noWrap/>
            <w:vAlign w:val="bottom"/>
          </w:tcPr>
          <w:p w:rsidR="000D732C" w:rsidRDefault="000D732C">
            <w:pPr>
              <w:rPr>
                <w:sz w:val="20"/>
                <w:szCs w:val="20"/>
              </w:rPr>
            </w:pPr>
          </w:p>
          <w:p w:rsidR="000D732C" w:rsidRDefault="000D732C">
            <w:pPr>
              <w:rPr>
                <w:sz w:val="20"/>
                <w:szCs w:val="20"/>
              </w:rPr>
            </w:pPr>
          </w:p>
          <w:p w:rsidR="000D732C" w:rsidRDefault="000D732C">
            <w:pPr>
              <w:rPr>
                <w:sz w:val="20"/>
                <w:szCs w:val="20"/>
              </w:rPr>
            </w:pPr>
          </w:p>
          <w:p w:rsidR="000D732C" w:rsidRDefault="000D732C">
            <w:pPr>
              <w:rPr>
                <w:sz w:val="20"/>
                <w:szCs w:val="20"/>
              </w:rPr>
            </w:pPr>
          </w:p>
          <w:p w:rsidR="000D732C" w:rsidRDefault="000D732C">
            <w:pPr>
              <w:rPr>
                <w:sz w:val="20"/>
                <w:szCs w:val="20"/>
              </w:rPr>
            </w:pPr>
          </w:p>
          <w:p w:rsidR="000D732C" w:rsidRDefault="000D732C">
            <w:pPr>
              <w:rPr>
                <w:sz w:val="20"/>
                <w:szCs w:val="20"/>
              </w:rPr>
            </w:pPr>
          </w:p>
          <w:p w:rsidR="000D732C" w:rsidRDefault="000D732C">
            <w:pPr>
              <w:rPr>
                <w:sz w:val="20"/>
                <w:szCs w:val="20"/>
              </w:rPr>
            </w:pPr>
          </w:p>
          <w:p w:rsidR="000D732C" w:rsidRDefault="000D732C">
            <w:pPr>
              <w:rPr>
                <w:sz w:val="20"/>
                <w:szCs w:val="20"/>
              </w:rPr>
            </w:pPr>
          </w:p>
          <w:p w:rsidR="000D732C" w:rsidRDefault="000D732C">
            <w:pPr>
              <w:rPr>
                <w:sz w:val="20"/>
                <w:szCs w:val="20"/>
              </w:rPr>
            </w:pPr>
          </w:p>
        </w:tc>
        <w:tc>
          <w:tcPr>
            <w:tcW w:w="1498" w:type="dxa"/>
            <w:noWrap/>
            <w:vAlign w:val="bottom"/>
          </w:tcPr>
          <w:p w:rsidR="000D732C" w:rsidRDefault="000D732C">
            <w:pPr>
              <w:rPr>
                <w:sz w:val="20"/>
                <w:szCs w:val="20"/>
              </w:rPr>
            </w:pPr>
          </w:p>
        </w:tc>
        <w:tc>
          <w:tcPr>
            <w:tcW w:w="1565" w:type="dxa"/>
            <w:noWrap/>
            <w:vAlign w:val="bottom"/>
          </w:tcPr>
          <w:p w:rsidR="000D732C" w:rsidRDefault="000D732C">
            <w:pPr>
              <w:rPr>
                <w:sz w:val="20"/>
                <w:szCs w:val="20"/>
              </w:rPr>
            </w:pPr>
          </w:p>
        </w:tc>
        <w:tc>
          <w:tcPr>
            <w:tcW w:w="1063" w:type="dxa"/>
            <w:noWrap/>
            <w:vAlign w:val="bottom"/>
          </w:tcPr>
          <w:p w:rsidR="000D732C" w:rsidRDefault="000D732C">
            <w:pPr>
              <w:rPr>
                <w:sz w:val="20"/>
                <w:szCs w:val="20"/>
              </w:rPr>
            </w:pPr>
          </w:p>
        </w:tc>
        <w:tc>
          <w:tcPr>
            <w:tcW w:w="1408" w:type="dxa"/>
            <w:gridSpan w:val="3"/>
            <w:noWrap/>
            <w:vAlign w:val="bottom"/>
          </w:tcPr>
          <w:p w:rsidR="000D732C" w:rsidRDefault="000D732C">
            <w:pPr>
              <w:rPr>
                <w:sz w:val="20"/>
                <w:szCs w:val="20"/>
              </w:rPr>
            </w:pPr>
          </w:p>
        </w:tc>
        <w:tc>
          <w:tcPr>
            <w:tcW w:w="1054" w:type="dxa"/>
            <w:gridSpan w:val="4"/>
            <w:noWrap/>
            <w:vAlign w:val="bottom"/>
          </w:tcPr>
          <w:p w:rsidR="000D732C" w:rsidRDefault="000D732C">
            <w:pPr>
              <w:rPr>
                <w:sz w:val="20"/>
                <w:szCs w:val="20"/>
              </w:rPr>
            </w:pPr>
          </w:p>
        </w:tc>
        <w:tc>
          <w:tcPr>
            <w:tcW w:w="1417" w:type="dxa"/>
            <w:gridSpan w:val="3"/>
            <w:noWrap/>
            <w:vAlign w:val="bottom"/>
          </w:tcPr>
          <w:p w:rsidR="000D732C" w:rsidRDefault="000D732C">
            <w:pPr>
              <w:rPr>
                <w:sz w:val="20"/>
                <w:szCs w:val="2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noWrap/>
            <w:vAlign w:val="bottom"/>
          </w:tcPr>
          <w:p w:rsidR="000D732C" w:rsidRDefault="000D732C">
            <w:pPr>
              <w:rPr>
                <w:sz w:val="20"/>
                <w:szCs w:val="20"/>
              </w:rPr>
            </w:pPr>
          </w:p>
        </w:tc>
        <w:tc>
          <w:tcPr>
            <w:tcW w:w="1494" w:type="dxa"/>
            <w:noWrap/>
            <w:vAlign w:val="bottom"/>
          </w:tcPr>
          <w:p w:rsidR="000D732C" w:rsidRDefault="000D732C">
            <w:pPr>
              <w:rPr>
                <w:sz w:val="20"/>
                <w:szCs w:val="20"/>
              </w:rPr>
            </w:pPr>
          </w:p>
        </w:tc>
        <w:tc>
          <w:tcPr>
            <w:tcW w:w="1498" w:type="dxa"/>
            <w:noWrap/>
            <w:vAlign w:val="bottom"/>
          </w:tcPr>
          <w:p w:rsidR="000D732C" w:rsidRDefault="000D732C">
            <w:pPr>
              <w:rPr>
                <w:sz w:val="20"/>
                <w:szCs w:val="20"/>
              </w:rPr>
            </w:pPr>
          </w:p>
        </w:tc>
        <w:tc>
          <w:tcPr>
            <w:tcW w:w="1565" w:type="dxa"/>
            <w:noWrap/>
            <w:vAlign w:val="bottom"/>
          </w:tcPr>
          <w:p w:rsidR="000D732C" w:rsidRDefault="000D732C">
            <w:pPr>
              <w:rPr>
                <w:sz w:val="20"/>
                <w:szCs w:val="20"/>
              </w:rPr>
            </w:pPr>
          </w:p>
        </w:tc>
        <w:tc>
          <w:tcPr>
            <w:tcW w:w="1063" w:type="dxa"/>
            <w:noWrap/>
            <w:vAlign w:val="bottom"/>
          </w:tcPr>
          <w:p w:rsidR="000D732C" w:rsidRDefault="000D732C">
            <w:pPr>
              <w:rPr>
                <w:sz w:val="20"/>
                <w:szCs w:val="20"/>
              </w:rPr>
            </w:pPr>
          </w:p>
        </w:tc>
        <w:tc>
          <w:tcPr>
            <w:tcW w:w="1408" w:type="dxa"/>
            <w:gridSpan w:val="3"/>
            <w:noWrap/>
            <w:vAlign w:val="bottom"/>
          </w:tcPr>
          <w:p w:rsidR="000D732C" w:rsidRDefault="000D732C">
            <w:pPr>
              <w:rPr>
                <w:sz w:val="20"/>
                <w:szCs w:val="20"/>
              </w:rPr>
            </w:pPr>
          </w:p>
        </w:tc>
        <w:tc>
          <w:tcPr>
            <w:tcW w:w="1054" w:type="dxa"/>
            <w:gridSpan w:val="4"/>
            <w:noWrap/>
            <w:vAlign w:val="bottom"/>
          </w:tcPr>
          <w:p w:rsidR="000D732C" w:rsidRDefault="000D732C">
            <w:pPr>
              <w:rPr>
                <w:sz w:val="20"/>
                <w:szCs w:val="20"/>
              </w:rPr>
            </w:pPr>
          </w:p>
        </w:tc>
        <w:tc>
          <w:tcPr>
            <w:tcW w:w="1417" w:type="dxa"/>
            <w:gridSpan w:val="3"/>
            <w:noWrap/>
            <w:vAlign w:val="bottom"/>
          </w:tcPr>
          <w:p w:rsidR="000D732C" w:rsidRDefault="000D732C">
            <w:pPr>
              <w:rPr>
                <w:sz w:val="20"/>
                <w:szCs w:val="2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noWrap/>
            <w:vAlign w:val="bottom"/>
          </w:tcPr>
          <w:p w:rsidR="000D732C" w:rsidRDefault="000D732C">
            <w:pPr>
              <w:rPr>
                <w:sz w:val="20"/>
                <w:szCs w:val="20"/>
              </w:rPr>
            </w:pPr>
          </w:p>
        </w:tc>
        <w:tc>
          <w:tcPr>
            <w:tcW w:w="1494" w:type="dxa"/>
            <w:noWrap/>
            <w:vAlign w:val="bottom"/>
          </w:tcPr>
          <w:p w:rsidR="000D732C" w:rsidRDefault="000D732C">
            <w:pPr>
              <w:rPr>
                <w:sz w:val="20"/>
                <w:szCs w:val="20"/>
              </w:rPr>
            </w:pPr>
          </w:p>
        </w:tc>
        <w:tc>
          <w:tcPr>
            <w:tcW w:w="1498" w:type="dxa"/>
            <w:noWrap/>
            <w:vAlign w:val="bottom"/>
          </w:tcPr>
          <w:p w:rsidR="000D732C" w:rsidRDefault="000D732C">
            <w:pPr>
              <w:rPr>
                <w:sz w:val="20"/>
                <w:szCs w:val="20"/>
              </w:rPr>
            </w:pPr>
          </w:p>
        </w:tc>
        <w:tc>
          <w:tcPr>
            <w:tcW w:w="1565" w:type="dxa"/>
            <w:noWrap/>
            <w:vAlign w:val="bottom"/>
          </w:tcPr>
          <w:p w:rsidR="000D732C" w:rsidRDefault="000D732C">
            <w:pPr>
              <w:rPr>
                <w:sz w:val="20"/>
                <w:szCs w:val="20"/>
              </w:rPr>
            </w:pPr>
          </w:p>
        </w:tc>
        <w:tc>
          <w:tcPr>
            <w:tcW w:w="1063" w:type="dxa"/>
            <w:noWrap/>
            <w:vAlign w:val="bottom"/>
          </w:tcPr>
          <w:p w:rsidR="000D732C" w:rsidRDefault="000D732C">
            <w:pPr>
              <w:rPr>
                <w:sz w:val="20"/>
                <w:szCs w:val="20"/>
              </w:rPr>
            </w:pPr>
          </w:p>
        </w:tc>
        <w:tc>
          <w:tcPr>
            <w:tcW w:w="1408" w:type="dxa"/>
            <w:gridSpan w:val="3"/>
            <w:noWrap/>
            <w:vAlign w:val="bottom"/>
          </w:tcPr>
          <w:p w:rsidR="000D732C" w:rsidRDefault="000D732C">
            <w:pPr>
              <w:rPr>
                <w:sz w:val="20"/>
                <w:szCs w:val="20"/>
              </w:rPr>
            </w:pPr>
          </w:p>
        </w:tc>
        <w:tc>
          <w:tcPr>
            <w:tcW w:w="1054" w:type="dxa"/>
            <w:gridSpan w:val="4"/>
            <w:noWrap/>
            <w:vAlign w:val="bottom"/>
          </w:tcPr>
          <w:p w:rsidR="000D732C" w:rsidRDefault="000D732C">
            <w:pPr>
              <w:rPr>
                <w:sz w:val="20"/>
                <w:szCs w:val="20"/>
              </w:rPr>
            </w:pPr>
          </w:p>
        </w:tc>
        <w:tc>
          <w:tcPr>
            <w:tcW w:w="1417" w:type="dxa"/>
            <w:gridSpan w:val="3"/>
            <w:noWrap/>
            <w:vAlign w:val="bottom"/>
          </w:tcPr>
          <w:p w:rsidR="000D732C" w:rsidRDefault="000D732C">
            <w:pPr>
              <w:rPr>
                <w:sz w:val="20"/>
                <w:szCs w:val="2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r w:rsidR="000D732C" w:rsidTr="000D732C">
        <w:trPr>
          <w:gridAfter w:val="1"/>
          <w:wAfter w:w="7" w:type="dxa"/>
          <w:trHeight w:val="315"/>
        </w:trPr>
        <w:tc>
          <w:tcPr>
            <w:tcW w:w="830" w:type="dxa"/>
            <w:noWrap/>
            <w:vAlign w:val="bottom"/>
          </w:tcPr>
          <w:p w:rsidR="000D732C" w:rsidRDefault="000D732C">
            <w:pPr>
              <w:rPr>
                <w:sz w:val="20"/>
                <w:szCs w:val="20"/>
              </w:rPr>
            </w:pPr>
          </w:p>
        </w:tc>
        <w:tc>
          <w:tcPr>
            <w:tcW w:w="9666" w:type="dxa"/>
            <w:gridSpan w:val="7"/>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0D732C" w:rsidRDefault="000D732C">
            <w:pPr>
              <w:jc w:val="center"/>
              <w:rPr>
                <w:rFonts w:ascii="Calibri" w:hAnsi="Calibri" w:cs="Calibri"/>
                <w:b/>
                <w:bCs/>
                <w:color w:val="000000"/>
              </w:rPr>
            </w:pPr>
            <w:r>
              <w:rPr>
                <w:rFonts w:ascii="Calibri" w:hAnsi="Calibri" w:cs="Calibri"/>
                <w:b/>
                <w:bCs/>
                <w:color w:val="000000"/>
              </w:rPr>
              <w:t>5.Коэффициент риска невозврата займа</w:t>
            </w:r>
          </w:p>
        </w:tc>
        <w:tc>
          <w:tcPr>
            <w:tcW w:w="1408" w:type="dxa"/>
            <w:gridSpan w:val="4"/>
            <w:noWrap/>
            <w:vAlign w:val="bottom"/>
          </w:tcPr>
          <w:p w:rsidR="000D732C" w:rsidRDefault="000D732C">
            <w:pPr>
              <w:jc w:val="center"/>
              <w:rPr>
                <w:rFonts w:ascii="Calibri" w:hAnsi="Calibri" w:cs="Calibri"/>
                <w:b/>
                <w:bCs/>
                <w:color w:val="000000"/>
              </w:rPr>
            </w:pPr>
          </w:p>
        </w:tc>
        <w:tc>
          <w:tcPr>
            <w:tcW w:w="1768" w:type="dxa"/>
            <w:gridSpan w:val="3"/>
            <w:noWrap/>
            <w:vAlign w:val="bottom"/>
          </w:tcPr>
          <w:p w:rsidR="000D732C" w:rsidRDefault="000D732C">
            <w:pPr>
              <w:rPr>
                <w:sz w:val="20"/>
                <w:szCs w:val="20"/>
              </w:rPr>
            </w:pPr>
          </w:p>
        </w:tc>
        <w:tc>
          <w:tcPr>
            <w:tcW w:w="639" w:type="dxa"/>
            <w:noWrap/>
            <w:vAlign w:val="bottom"/>
          </w:tcPr>
          <w:p w:rsidR="000D732C" w:rsidRDefault="000D732C">
            <w:pPr>
              <w:rPr>
                <w:sz w:val="20"/>
                <w:szCs w:val="20"/>
              </w:rPr>
            </w:pPr>
          </w:p>
        </w:tc>
        <w:tc>
          <w:tcPr>
            <w:tcW w:w="1704" w:type="dxa"/>
            <w:noWrap/>
            <w:vAlign w:val="bottom"/>
          </w:tcPr>
          <w:p w:rsidR="000D732C" w:rsidRDefault="000D732C">
            <w:pPr>
              <w:rPr>
                <w:sz w:val="20"/>
                <w:szCs w:val="20"/>
              </w:rPr>
            </w:pPr>
          </w:p>
        </w:tc>
        <w:tc>
          <w:tcPr>
            <w:tcW w:w="236" w:type="dxa"/>
            <w:noWrap/>
            <w:vAlign w:val="bottom"/>
          </w:tcPr>
          <w:p w:rsidR="000D732C" w:rsidRDefault="000D732C">
            <w:pPr>
              <w:rPr>
                <w:sz w:val="20"/>
                <w:szCs w:val="20"/>
              </w:rPr>
            </w:pPr>
          </w:p>
        </w:tc>
      </w:tr>
      <w:tr w:rsidR="000D732C" w:rsidTr="000D732C">
        <w:trPr>
          <w:trHeight w:val="615"/>
        </w:trPr>
        <w:tc>
          <w:tcPr>
            <w:tcW w:w="830" w:type="dxa"/>
            <w:noWrap/>
            <w:vAlign w:val="bottom"/>
          </w:tcPr>
          <w:p w:rsidR="000D732C" w:rsidRDefault="000D732C">
            <w:pPr>
              <w:rPr>
                <w:sz w:val="20"/>
                <w:szCs w:val="20"/>
              </w:rPr>
            </w:pPr>
          </w:p>
        </w:tc>
        <w:tc>
          <w:tcPr>
            <w:tcW w:w="5476" w:type="dxa"/>
            <w:gridSpan w:val="2"/>
            <w:tcBorders>
              <w:top w:val="single" w:sz="4" w:space="0" w:color="auto"/>
              <w:left w:val="single" w:sz="4" w:space="0" w:color="auto"/>
              <w:bottom w:val="single" w:sz="4" w:space="0" w:color="auto"/>
              <w:right w:val="single" w:sz="4" w:space="0" w:color="auto"/>
            </w:tcBorders>
            <w:noWrap/>
            <w:vAlign w:val="center"/>
            <w:hideMark/>
          </w:tcPr>
          <w:p w:rsidR="000D732C" w:rsidRDefault="000D732C">
            <w:pPr>
              <w:jc w:val="center"/>
              <w:rPr>
                <w:rFonts w:ascii="Arial" w:hAnsi="Arial" w:cs="Arial"/>
                <w:b/>
                <w:bCs/>
                <w:color w:val="000000"/>
                <w:sz w:val="20"/>
                <w:szCs w:val="20"/>
              </w:rPr>
            </w:pPr>
            <w:r>
              <w:rPr>
                <w:rFonts w:ascii="Arial" w:hAnsi="Arial" w:cs="Arial"/>
                <w:b/>
                <w:bCs/>
                <w:color w:val="000000"/>
                <w:sz w:val="20"/>
                <w:szCs w:val="20"/>
              </w:rPr>
              <w:t>Балл</w:t>
            </w:r>
          </w:p>
        </w:tc>
        <w:tc>
          <w:tcPr>
            <w:tcW w:w="1498" w:type="dxa"/>
            <w:tcBorders>
              <w:top w:val="nil"/>
              <w:left w:val="nil"/>
              <w:bottom w:val="single" w:sz="4" w:space="0" w:color="auto"/>
              <w:right w:val="single" w:sz="4" w:space="0" w:color="auto"/>
            </w:tcBorders>
            <w:vAlign w:val="center"/>
            <w:hideMark/>
          </w:tcPr>
          <w:p w:rsidR="000D732C" w:rsidRDefault="000D732C">
            <w:pPr>
              <w:jc w:val="center"/>
              <w:rPr>
                <w:rFonts w:ascii="Arial" w:hAnsi="Arial" w:cs="Arial"/>
                <w:b/>
                <w:bCs/>
                <w:color w:val="000000"/>
                <w:sz w:val="20"/>
                <w:szCs w:val="20"/>
              </w:rPr>
            </w:pPr>
            <w:r>
              <w:rPr>
                <w:rFonts w:ascii="Arial" w:hAnsi="Arial" w:cs="Arial"/>
                <w:b/>
                <w:bCs/>
                <w:color w:val="000000"/>
                <w:sz w:val="20"/>
                <w:szCs w:val="20"/>
              </w:rPr>
              <w:t>Условное обозначение</w:t>
            </w:r>
          </w:p>
        </w:tc>
        <w:tc>
          <w:tcPr>
            <w:tcW w:w="2639" w:type="dxa"/>
            <w:gridSpan w:val="3"/>
            <w:tcBorders>
              <w:top w:val="single" w:sz="4" w:space="0" w:color="auto"/>
              <w:left w:val="single" w:sz="4" w:space="0" w:color="auto"/>
              <w:bottom w:val="single" w:sz="4" w:space="0" w:color="auto"/>
              <w:right w:val="single" w:sz="4" w:space="0" w:color="auto"/>
            </w:tcBorders>
            <w:vAlign w:val="center"/>
            <w:hideMark/>
          </w:tcPr>
          <w:p w:rsidR="000D732C" w:rsidRDefault="000D732C">
            <w:pPr>
              <w:jc w:val="center"/>
              <w:rPr>
                <w:rFonts w:ascii="Arial" w:hAnsi="Arial" w:cs="Arial"/>
                <w:b/>
                <w:bCs/>
                <w:color w:val="000000"/>
                <w:sz w:val="20"/>
                <w:szCs w:val="20"/>
              </w:rPr>
            </w:pPr>
            <w:r>
              <w:rPr>
                <w:rFonts w:ascii="Arial" w:hAnsi="Arial" w:cs="Arial"/>
                <w:b/>
                <w:bCs/>
                <w:color w:val="000000"/>
                <w:sz w:val="20"/>
                <w:szCs w:val="20"/>
              </w:rPr>
              <w:t>Качественная характеристика финансового состояния</w:t>
            </w:r>
          </w:p>
        </w:tc>
        <w:tc>
          <w:tcPr>
            <w:tcW w:w="1412" w:type="dxa"/>
            <w:gridSpan w:val="3"/>
            <w:noWrap/>
            <w:vAlign w:val="bottom"/>
          </w:tcPr>
          <w:p w:rsidR="000D732C" w:rsidRDefault="000D732C">
            <w:pPr>
              <w:jc w:val="center"/>
              <w:rPr>
                <w:rFonts w:ascii="Arial" w:hAnsi="Arial" w:cs="Arial"/>
                <w:b/>
                <w:bCs/>
                <w:color w:val="000000"/>
                <w:sz w:val="20"/>
                <w:szCs w:val="20"/>
              </w:rPr>
            </w:pPr>
          </w:p>
        </w:tc>
        <w:tc>
          <w:tcPr>
            <w:tcW w:w="2456" w:type="dxa"/>
            <w:gridSpan w:val="6"/>
            <w:vAlign w:val="bottom"/>
            <w:hideMark/>
          </w:tcPr>
          <w:p w:rsidR="000D732C" w:rsidRDefault="000D732C">
            <w:pPr>
              <w:jc w:val="center"/>
              <w:rPr>
                <w:rFonts w:ascii="Calibri" w:hAnsi="Calibri" w:cs="Calibri"/>
                <w:color w:val="000000"/>
              </w:rPr>
            </w:pPr>
            <w:r>
              <w:rPr>
                <w:rFonts w:ascii="Calibri" w:hAnsi="Calibri" w:cs="Calibri"/>
                <w:color w:val="000000"/>
                <w:sz w:val="22"/>
                <w:szCs w:val="22"/>
              </w:rPr>
              <w:t>Качественная характеристика финансового состояния:</w:t>
            </w:r>
          </w:p>
        </w:tc>
        <w:tc>
          <w:tcPr>
            <w:tcW w:w="1704" w:type="dxa"/>
            <w:noWrap/>
            <w:vAlign w:val="bottom"/>
          </w:tcPr>
          <w:p w:rsidR="000D732C" w:rsidRDefault="000D732C">
            <w:pPr>
              <w:jc w:val="center"/>
              <w:rPr>
                <w:rFonts w:ascii="Calibri" w:hAnsi="Calibri" w:cs="Calibri"/>
                <w:color w:val="00000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vMerge w:val="restart"/>
            <w:tcBorders>
              <w:top w:val="nil"/>
              <w:left w:val="single" w:sz="4" w:space="0" w:color="auto"/>
              <w:bottom w:val="single" w:sz="4" w:space="0" w:color="auto"/>
              <w:right w:val="single" w:sz="4" w:space="0" w:color="auto"/>
            </w:tcBorders>
            <w:noWrap/>
            <w:vAlign w:val="center"/>
            <w:hideMark/>
          </w:tcPr>
          <w:p w:rsidR="000D732C" w:rsidRDefault="000D732C">
            <w:pPr>
              <w:jc w:val="center"/>
              <w:rPr>
                <w:rFonts w:ascii="Arial" w:hAnsi="Arial" w:cs="Arial"/>
                <w:b/>
                <w:bCs/>
                <w:color w:val="000000"/>
                <w:sz w:val="20"/>
                <w:szCs w:val="20"/>
              </w:rPr>
            </w:pPr>
            <w:r>
              <w:rPr>
                <w:rFonts w:ascii="Arial" w:hAnsi="Arial" w:cs="Arial"/>
                <w:b/>
                <w:bCs/>
                <w:color w:val="000000"/>
                <w:sz w:val="20"/>
                <w:szCs w:val="20"/>
              </w:rPr>
              <w:t>от</w:t>
            </w:r>
          </w:p>
        </w:tc>
        <w:tc>
          <w:tcPr>
            <w:tcW w:w="1494" w:type="dxa"/>
            <w:tcBorders>
              <w:top w:val="nil"/>
              <w:left w:val="nil"/>
              <w:bottom w:val="single" w:sz="4" w:space="0" w:color="auto"/>
              <w:right w:val="single" w:sz="4" w:space="0" w:color="auto"/>
            </w:tcBorders>
            <w:noWrap/>
            <w:vAlign w:val="center"/>
            <w:hideMark/>
          </w:tcPr>
          <w:p w:rsidR="000D732C" w:rsidRDefault="000D732C">
            <w:pPr>
              <w:jc w:val="center"/>
              <w:rPr>
                <w:rFonts w:ascii="Arial" w:hAnsi="Arial" w:cs="Arial"/>
                <w:b/>
                <w:bCs/>
                <w:color w:val="000000"/>
                <w:sz w:val="20"/>
                <w:szCs w:val="20"/>
              </w:rPr>
            </w:pPr>
            <w:r>
              <w:rPr>
                <w:rFonts w:ascii="Arial" w:hAnsi="Arial" w:cs="Arial"/>
                <w:b/>
                <w:bCs/>
                <w:color w:val="000000"/>
                <w:sz w:val="20"/>
                <w:szCs w:val="20"/>
              </w:rPr>
              <w:t>до</w:t>
            </w:r>
          </w:p>
        </w:tc>
        <w:tc>
          <w:tcPr>
            <w:tcW w:w="1498" w:type="dxa"/>
            <w:tcBorders>
              <w:top w:val="nil"/>
              <w:left w:val="nil"/>
              <w:bottom w:val="single" w:sz="4" w:space="0" w:color="auto"/>
              <w:right w:val="single" w:sz="4" w:space="0" w:color="auto"/>
            </w:tcBorders>
            <w:noWrap/>
            <w:vAlign w:val="center"/>
            <w:hideMark/>
          </w:tcPr>
          <w:p w:rsidR="000D732C" w:rsidRDefault="000D732C">
            <w:pPr>
              <w:jc w:val="center"/>
              <w:rPr>
                <w:rFonts w:ascii="Arial" w:hAnsi="Arial" w:cs="Arial"/>
                <w:b/>
                <w:bCs/>
                <w:color w:val="000000"/>
                <w:sz w:val="20"/>
                <w:szCs w:val="20"/>
              </w:rPr>
            </w:pPr>
            <w:r>
              <w:rPr>
                <w:rFonts w:ascii="Arial" w:hAnsi="Arial" w:cs="Arial"/>
                <w:b/>
                <w:bCs/>
                <w:color w:val="000000"/>
                <w:sz w:val="20"/>
                <w:szCs w:val="20"/>
              </w:rPr>
              <w:t>(рейтинг)</w:t>
            </w:r>
          </w:p>
        </w:tc>
        <w:tc>
          <w:tcPr>
            <w:tcW w:w="2639" w:type="dxa"/>
            <w:gridSpan w:val="3"/>
            <w:vMerge w:val="restart"/>
            <w:tcBorders>
              <w:top w:val="nil"/>
              <w:left w:val="nil"/>
              <w:bottom w:val="single" w:sz="4" w:space="0" w:color="auto"/>
              <w:right w:val="single" w:sz="4" w:space="0" w:color="auto"/>
            </w:tcBorders>
            <w:vAlign w:val="center"/>
          </w:tcPr>
          <w:p w:rsidR="000D732C" w:rsidRDefault="000D732C">
            <w:pPr>
              <w:rPr>
                <w:rFonts w:ascii="Arial" w:hAnsi="Arial" w:cs="Arial"/>
                <w:b/>
                <w:bCs/>
                <w:color w:val="000000"/>
                <w:sz w:val="20"/>
                <w:szCs w:val="20"/>
              </w:rPr>
            </w:pPr>
          </w:p>
        </w:tc>
        <w:tc>
          <w:tcPr>
            <w:tcW w:w="1412" w:type="dxa"/>
            <w:gridSpan w:val="3"/>
            <w:noWrap/>
            <w:vAlign w:val="bottom"/>
          </w:tcPr>
          <w:p w:rsidR="000D732C" w:rsidRDefault="000D732C">
            <w:pPr>
              <w:jc w:val="center"/>
              <w:rPr>
                <w:rFonts w:ascii="Arial" w:hAnsi="Arial" w:cs="Arial"/>
                <w:b/>
                <w:bCs/>
                <w:color w:val="000000"/>
                <w:sz w:val="20"/>
                <w:szCs w:val="20"/>
              </w:rPr>
            </w:pPr>
          </w:p>
        </w:tc>
        <w:tc>
          <w:tcPr>
            <w:tcW w:w="2456" w:type="dxa"/>
            <w:gridSpan w:val="6"/>
            <w:vAlign w:val="center"/>
          </w:tcPr>
          <w:p w:rsidR="000D732C" w:rsidRDefault="000D732C">
            <w:pPr>
              <w:rPr>
                <w:rFonts w:ascii="Calibri" w:hAnsi="Calibri" w:cs="Calibri"/>
                <w:color w:val="00000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0D732C" w:rsidRDefault="000D732C">
            <w:pPr>
              <w:rPr>
                <w:rFonts w:ascii="Arial" w:hAnsi="Arial" w:cs="Arial"/>
                <w:b/>
                <w:bCs/>
                <w:color w:val="000000"/>
                <w:sz w:val="20"/>
                <w:szCs w:val="20"/>
              </w:rPr>
            </w:pPr>
          </w:p>
        </w:tc>
        <w:tc>
          <w:tcPr>
            <w:tcW w:w="1494" w:type="dxa"/>
            <w:tcBorders>
              <w:top w:val="nil"/>
              <w:left w:val="nil"/>
              <w:bottom w:val="single" w:sz="4" w:space="0" w:color="auto"/>
              <w:right w:val="single" w:sz="4" w:space="0" w:color="auto"/>
            </w:tcBorders>
            <w:noWrap/>
            <w:vAlign w:val="center"/>
            <w:hideMark/>
          </w:tcPr>
          <w:p w:rsidR="000D732C" w:rsidRDefault="000D732C">
            <w:pPr>
              <w:jc w:val="cente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включ</w:t>
            </w:r>
            <w:proofErr w:type="spellEnd"/>
            <w:r>
              <w:rPr>
                <w:rFonts w:ascii="Arial" w:hAnsi="Arial" w:cs="Arial"/>
                <w:color w:val="000000"/>
                <w:sz w:val="18"/>
                <w:szCs w:val="18"/>
              </w:rPr>
              <w:t>.)</w:t>
            </w:r>
          </w:p>
        </w:tc>
        <w:tc>
          <w:tcPr>
            <w:tcW w:w="1498" w:type="dxa"/>
            <w:tcBorders>
              <w:top w:val="nil"/>
              <w:left w:val="nil"/>
              <w:bottom w:val="single" w:sz="4" w:space="0" w:color="auto"/>
              <w:right w:val="single" w:sz="4" w:space="0" w:color="auto"/>
            </w:tcBorders>
            <w:noWrap/>
            <w:vAlign w:val="center"/>
            <w:hideMark/>
          </w:tcPr>
          <w:p w:rsidR="000D732C" w:rsidRDefault="000D732C">
            <w:pPr>
              <w:jc w:val="center"/>
              <w:rPr>
                <w:rFonts w:ascii="Arial" w:hAnsi="Arial" w:cs="Arial"/>
                <w:b/>
                <w:bCs/>
                <w:color w:val="000000"/>
                <w:sz w:val="20"/>
                <w:szCs w:val="20"/>
              </w:rPr>
            </w:pPr>
            <w:r>
              <w:rPr>
                <w:rFonts w:ascii="Arial" w:hAnsi="Arial" w:cs="Arial"/>
                <w:b/>
                <w:bCs/>
                <w:color w:val="000000"/>
                <w:sz w:val="20"/>
                <w:szCs w:val="20"/>
              </w:rPr>
              <w:t> </w:t>
            </w:r>
          </w:p>
        </w:tc>
        <w:tc>
          <w:tcPr>
            <w:tcW w:w="6833" w:type="dxa"/>
            <w:gridSpan w:val="3"/>
            <w:vMerge/>
            <w:tcBorders>
              <w:top w:val="nil"/>
              <w:left w:val="nil"/>
              <w:bottom w:val="single" w:sz="4" w:space="0" w:color="auto"/>
              <w:right w:val="single" w:sz="4" w:space="0" w:color="auto"/>
            </w:tcBorders>
            <w:vAlign w:val="center"/>
            <w:hideMark/>
          </w:tcPr>
          <w:p w:rsidR="000D732C" w:rsidRDefault="000D732C">
            <w:pPr>
              <w:rPr>
                <w:rFonts w:ascii="Arial" w:hAnsi="Arial" w:cs="Arial"/>
                <w:b/>
                <w:bCs/>
                <w:color w:val="000000"/>
                <w:sz w:val="20"/>
                <w:szCs w:val="20"/>
              </w:rPr>
            </w:pPr>
          </w:p>
        </w:tc>
        <w:tc>
          <w:tcPr>
            <w:tcW w:w="1412" w:type="dxa"/>
            <w:gridSpan w:val="3"/>
            <w:noWrap/>
            <w:vAlign w:val="bottom"/>
          </w:tcPr>
          <w:p w:rsidR="000D732C" w:rsidRDefault="000D732C">
            <w:pPr>
              <w:jc w:val="center"/>
              <w:rPr>
                <w:rFonts w:ascii="Arial" w:hAnsi="Arial" w:cs="Arial"/>
                <w:b/>
                <w:bCs/>
                <w:color w:val="000000"/>
                <w:sz w:val="20"/>
                <w:szCs w:val="20"/>
              </w:rPr>
            </w:pPr>
          </w:p>
        </w:tc>
        <w:tc>
          <w:tcPr>
            <w:tcW w:w="2456" w:type="dxa"/>
            <w:gridSpan w:val="6"/>
            <w:vMerge w:val="restart"/>
            <w:vAlign w:val="center"/>
            <w:hideMark/>
          </w:tcPr>
          <w:p w:rsidR="000D732C" w:rsidRDefault="000D732C">
            <w:pPr>
              <w:jc w:val="center"/>
              <w:rPr>
                <w:rFonts w:ascii="Calibri" w:hAnsi="Calibri" w:cs="Calibri"/>
                <w:b/>
                <w:bCs/>
                <w:color w:val="000000"/>
                <w:sz w:val="40"/>
                <w:szCs w:val="40"/>
              </w:rPr>
            </w:pPr>
            <w:r>
              <w:rPr>
                <w:rFonts w:ascii="Calibri" w:hAnsi="Calibri" w:cs="Calibri"/>
                <w:b/>
                <w:bCs/>
                <w:color w:val="000000"/>
                <w:sz w:val="40"/>
                <w:szCs w:val="40"/>
              </w:rPr>
              <w:t>#ДЕЛ/0!</w:t>
            </w:r>
          </w:p>
        </w:tc>
        <w:tc>
          <w:tcPr>
            <w:tcW w:w="1704" w:type="dxa"/>
            <w:noWrap/>
            <w:vAlign w:val="bottom"/>
          </w:tcPr>
          <w:p w:rsidR="000D732C" w:rsidRDefault="000D732C">
            <w:pPr>
              <w:jc w:val="center"/>
              <w:rPr>
                <w:rFonts w:ascii="Calibri" w:hAnsi="Calibri" w:cs="Calibri"/>
                <w:b/>
                <w:bCs/>
                <w:color w:val="000000"/>
                <w:sz w:val="40"/>
                <w:szCs w:val="4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tcBorders>
              <w:top w:val="nil"/>
              <w:left w:val="single" w:sz="4" w:space="0" w:color="auto"/>
              <w:bottom w:val="single" w:sz="4" w:space="0" w:color="auto"/>
              <w:right w:val="single" w:sz="4" w:space="0" w:color="auto"/>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1</w:t>
            </w:r>
          </w:p>
        </w:tc>
        <w:tc>
          <w:tcPr>
            <w:tcW w:w="1494" w:type="dxa"/>
            <w:tcBorders>
              <w:top w:val="nil"/>
              <w:left w:val="nil"/>
              <w:bottom w:val="single" w:sz="4" w:space="0" w:color="auto"/>
              <w:right w:val="single" w:sz="4" w:space="0" w:color="auto"/>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0,8</w:t>
            </w:r>
          </w:p>
        </w:tc>
        <w:tc>
          <w:tcPr>
            <w:tcW w:w="1498" w:type="dxa"/>
            <w:tcBorders>
              <w:top w:val="nil"/>
              <w:left w:val="nil"/>
              <w:bottom w:val="single" w:sz="4" w:space="0" w:color="auto"/>
              <w:right w:val="single" w:sz="4" w:space="0" w:color="auto"/>
            </w:tcBorders>
            <w:vAlign w:val="center"/>
            <w:hideMark/>
          </w:tcPr>
          <w:p w:rsidR="000D732C" w:rsidRDefault="000D732C">
            <w:pPr>
              <w:ind w:firstLineChars="200" w:firstLine="400"/>
              <w:rPr>
                <w:rFonts w:ascii="Arial" w:hAnsi="Arial" w:cs="Arial"/>
                <w:color w:val="000000"/>
                <w:sz w:val="20"/>
                <w:szCs w:val="20"/>
              </w:rPr>
            </w:pPr>
            <w:r>
              <w:rPr>
                <w:rFonts w:ascii="Arial" w:hAnsi="Arial" w:cs="Arial"/>
                <w:color w:val="000000"/>
                <w:sz w:val="20"/>
                <w:szCs w:val="20"/>
              </w:rPr>
              <w:t>AAA</w:t>
            </w:r>
          </w:p>
        </w:tc>
        <w:tc>
          <w:tcPr>
            <w:tcW w:w="2639" w:type="dxa"/>
            <w:gridSpan w:val="3"/>
            <w:tcBorders>
              <w:top w:val="single" w:sz="4" w:space="0" w:color="auto"/>
              <w:left w:val="nil"/>
              <w:bottom w:val="single" w:sz="4" w:space="0" w:color="auto"/>
              <w:right w:val="single" w:sz="4" w:space="0" w:color="auto"/>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Отличное</w:t>
            </w:r>
          </w:p>
        </w:tc>
        <w:tc>
          <w:tcPr>
            <w:tcW w:w="1412" w:type="dxa"/>
            <w:gridSpan w:val="3"/>
            <w:noWrap/>
            <w:vAlign w:val="bottom"/>
          </w:tcPr>
          <w:p w:rsidR="000D732C" w:rsidRDefault="000D732C">
            <w:pPr>
              <w:rPr>
                <w:rFonts w:ascii="Arial" w:hAnsi="Arial" w:cs="Arial"/>
                <w:color w:val="000000"/>
                <w:sz w:val="20"/>
                <w:szCs w:val="20"/>
              </w:rPr>
            </w:pPr>
          </w:p>
        </w:tc>
        <w:tc>
          <w:tcPr>
            <w:tcW w:w="12109" w:type="dxa"/>
            <w:gridSpan w:val="6"/>
            <w:vMerge/>
            <w:vAlign w:val="center"/>
            <w:hideMark/>
          </w:tcPr>
          <w:p w:rsidR="000D732C" w:rsidRDefault="000D732C">
            <w:pPr>
              <w:rPr>
                <w:rFonts w:ascii="Calibri" w:hAnsi="Calibri" w:cs="Calibri"/>
                <w:b/>
                <w:bCs/>
                <w:color w:val="000000"/>
                <w:sz w:val="40"/>
                <w:szCs w:val="4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tcBorders>
              <w:top w:val="nil"/>
              <w:left w:val="single" w:sz="4" w:space="0" w:color="auto"/>
              <w:bottom w:val="single" w:sz="4" w:space="0" w:color="auto"/>
              <w:right w:val="single" w:sz="4" w:space="0" w:color="auto"/>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0,8</w:t>
            </w:r>
          </w:p>
        </w:tc>
        <w:tc>
          <w:tcPr>
            <w:tcW w:w="1494" w:type="dxa"/>
            <w:tcBorders>
              <w:top w:val="nil"/>
              <w:left w:val="nil"/>
              <w:bottom w:val="single" w:sz="4" w:space="0" w:color="auto"/>
              <w:right w:val="single" w:sz="4" w:space="0" w:color="auto"/>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0,6</w:t>
            </w:r>
          </w:p>
        </w:tc>
        <w:tc>
          <w:tcPr>
            <w:tcW w:w="1498" w:type="dxa"/>
            <w:tcBorders>
              <w:top w:val="nil"/>
              <w:left w:val="nil"/>
              <w:bottom w:val="single" w:sz="4" w:space="0" w:color="auto"/>
              <w:right w:val="single" w:sz="4" w:space="0" w:color="auto"/>
            </w:tcBorders>
            <w:vAlign w:val="center"/>
            <w:hideMark/>
          </w:tcPr>
          <w:p w:rsidR="000D732C" w:rsidRDefault="000D732C">
            <w:pPr>
              <w:ind w:firstLineChars="200" w:firstLine="400"/>
              <w:rPr>
                <w:rFonts w:ascii="Arial" w:hAnsi="Arial" w:cs="Arial"/>
                <w:color w:val="000000"/>
                <w:sz w:val="20"/>
                <w:szCs w:val="20"/>
              </w:rPr>
            </w:pPr>
            <w:r>
              <w:rPr>
                <w:rFonts w:ascii="Arial" w:hAnsi="Arial" w:cs="Arial"/>
                <w:color w:val="000000"/>
                <w:sz w:val="20"/>
                <w:szCs w:val="20"/>
              </w:rPr>
              <w:t>AA</w:t>
            </w:r>
          </w:p>
        </w:tc>
        <w:tc>
          <w:tcPr>
            <w:tcW w:w="2639" w:type="dxa"/>
            <w:gridSpan w:val="3"/>
            <w:tcBorders>
              <w:top w:val="single" w:sz="4" w:space="0" w:color="auto"/>
              <w:left w:val="nil"/>
              <w:bottom w:val="single" w:sz="4" w:space="0" w:color="auto"/>
              <w:right w:val="single" w:sz="4" w:space="0" w:color="auto"/>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Очень хорошее</w:t>
            </w:r>
          </w:p>
        </w:tc>
        <w:tc>
          <w:tcPr>
            <w:tcW w:w="1412" w:type="dxa"/>
            <w:gridSpan w:val="3"/>
            <w:noWrap/>
            <w:vAlign w:val="bottom"/>
          </w:tcPr>
          <w:p w:rsidR="000D732C" w:rsidRDefault="000D732C">
            <w:pPr>
              <w:rPr>
                <w:rFonts w:ascii="Arial" w:hAnsi="Arial" w:cs="Arial"/>
                <w:color w:val="000000"/>
                <w:sz w:val="20"/>
                <w:szCs w:val="20"/>
              </w:rPr>
            </w:pPr>
          </w:p>
        </w:tc>
        <w:tc>
          <w:tcPr>
            <w:tcW w:w="12109" w:type="dxa"/>
            <w:gridSpan w:val="6"/>
            <w:vMerge/>
            <w:vAlign w:val="center"/>
            <w:hideMark/>
          </w:tcPr>
          <w:p w:rsidR="000D732C" w:rsidRDefault="000D732C">
            <w:pPr>
              <w:rPr>
                <w:rFonts w:ascii="Calibri" w:hAnsi="Calibri" w:cs="Calibri"/>
                <w:b/>
                <w:bCs/>
                <w:color w:val="000000"/>
                <w:sz w:val="40"/>
                <w:szCs w:val="4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tcBorders>
              <w:top w:val="nil"/>
              <w:left w:val="single" w:sz="4" w:space="0" w:color="auto"/>
              <w:bottom w:val="single" w:sz="4" w:space="0" w:color="auto"/>
              <w:right w:val="single" w:sz="4" w:space="0" w:color="auto"/>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0,6</w:t>
            </w:r>
          </w:p>
        </w:tc>
        <w:tc>
          <w:tcPr>
            <w:tcW w:w="1494" w:type="dxa"/>
            <w:tcBorders>
              <w:top w:val="nil"/>
              <w:left w:val="nil"/>
              <w:bottom w:val="single" w:sz="4" w:space="0" w:color="auto"/>
              <w:right w:val="single" w:sz="4" w:space="0" w:color="auto"/>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0,4</w:t>
            </w:r>
          </w:p>
        </w:tc>
        <w:tc>
          <w:tcPr>
            <w:tcW w:w="1498" w:type="dxa"/>
            <w:tcBorders>
              <w:top w:val="nil"/>
              <w:left w:val="nil"/>
              <w:bottom w:val="single" w:sz="4" w:space="0" w:color="auto"/>
              <w:right w:val="single" w:sz="4" w:space="0" w:color="auto"/>
            </w:tcBorders>
            <w:vAlign w:val="center"/>
            <w:hideMark/>
          </w:tcPr>
          <w:p w:rsidR="000D732C" w:rsidRDefault="000D732C">
            <w:pPr>
              <w:ind w:firstLineChars="200" w:firstLine="400"/>
              <w:rPr>
                <w:rFonts w:ascii="Arial" w:hAnsi="Arial" w:cs="Arial"/>
                <w:color w:val="000000"/>
                <w:sz w:val="20"/>
                <w:szCs w:val="20"/>
              </w:rPr>
            </w:pPr>
            <w:r>
              <w:rPr>
                <w:rFonts w:ascii="Arial" w:hAnsi="Arial" w:cs="Arial"/>
                <w:color w:val="000000"/>
                <w:sz w:val="20"/>
                <w:szCs w:val="20"/>
              </w:rPr>
              <w:t>A</w:t>
            </w:r>
          </w:p>
        </w:tc>
        <w:tc>
          <w:tcPr>
            <w:tcW w:w="2639" w:type="dxa"/>
            <w:gridSpan w:val="3"/>
            <w:tcBorders>
              <w:top w:val="single" w:sz="4" w:space="0" w:color="auto"/>
              <w:left w:val="nil"/>
              <w:bottom w:val="single" w:sz="4" w:space="0" w:color="auto"/>
              <w:right w:val="single" w:sz="4" w:space="0" w:color="auto"/>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Хорошее</w:t>
            </w:r>
          </w:p>
        </w:tc>
        <w:tc>
          <w:tcPr>
            <w:tcW w:w="1412" w:type="dxa"/>
            <w:gridSpan w:val="3"/>
            <w:noWrap/>
            <w:vAlign w:val="bottom"/>
          </w:tcPr>
          <w:p w:rsidR="000D732C" w:rsidRDefault="000D732C">
            <w:pPr>
              <w:rPr>
                <w:rFonts w:ascii="Arial" w:hAnsi="Arial" w:cs="Arial"/>
                <w:color w:val="000000"/>
                <w:sz w:val="20"/>
                <w:szCs w:val="20"/>
              </w:rPr>
            </w:pPr>
          </w:p>
        </w:tc>
        <w:tc>
          <w:tcPr>
            <w:tcW w:w="12109" w:type="dxa"/>
            <w:gridSpan w:val="6"/>
            <w:vMerge/>
            <w:vAlign w:val="center"/>
            <w:hideMark/>
          </w:tcPr>
          <w:p w:rsidR="000D732C" w:rsidRDefault="000D732C">
            <w:pPr>
              <w:rPr>
                <w:rFonts w:ascii="Calibri" w:hAnsi="Calibri" w:cs="Calibri"/>
                <w:b/>
                <w:bCs/>
                <w:color w:val="000000"/>
                <w:sz w:val="40"/>
                <w:szCs w:val="4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tcBorders>
              <w:top w:val="nil"/>
              <w:left w:val="single" w:sz="4" w:space="0" w:color="auto"/>
              <w:bottom w:val="single" w:sz="4" w:space="0" w:color="auto"/>
              <w:right w:val="single" w:sz="4" w:space="0" w:color="auto"/>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0,4</w:t>
            </w:r>
          </w:p>
        </w:tc>
        <w:tc>
          <w:tcPr>
            <w:tcW w:w="1494" w:type="dxa"/>
            <w:tcBorders>
              <w:top w:val="nil"/>
              <w:left w:val="nil"/>
              <w:bottom w:val="single" w:sz="4" w:space="0" w:color="auto"/>
              <w:right w:val="single" w:sz="4" w:space="0" w:color="auto"/>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0,2</w:t>
            </w:r>
          </w:p>
        </w:tc>
        <w:tc>
          <w:tcPr>
            <w:tcW w:w="1498" w:type="dxa"/>
            <w:tcBorders>
              <w:top w:val="nil"/>
              <w:left w:val="nil"/>
              <w:bottom w:val="single" w:sz="4" w:space="0" w:color="auto"/>
              <w:right w:val="single" w:sz="4" w:space="0" w:color="auto"/>
            </w:tcBorders>
            <w:vAlign w:val="center"/>
            <w:hideMark/>
          </w:tcPr>
          <w:p w:rsidR="000D732C" w:rsidRDefault="000D732C">
            <w:pPr>
              <w:ind w:firstLineChars="200" w:firstLine="400"/>
              <w:rPr>
                <w:rFonts w:ascii="Arial" w:hAnsi="Arial" w:cs="Arial"/>
                <w:color w:val="000000"/>
                <w:sz w:val="20"/>
                <w:szCs w:val="20"/>
              </w:rPr>
            </w:pPr>
            <w:r>
              <w:rPr>
                <w:rFonts w:ascii="Arial" w:hAnsi="Arial" w:cs="Arial"/>
                <w:color w:val="000000"/>
                <w:sz w:val="20"/>
                <w:szCs w:val="20"/>
              </w:rPr>
              <w:t>BBB</w:t>
            </w:r>
          </w:p>
        </w:tc>
        <w:tc>
          <w:tcPr>
            <w:tcW w:w="2639" w:type="dxa"/>
            <w:gridSpan w:val="3"/>
            <w:tcBorders>
              <w:top w:val="single" w:sz="4" w:space="0" w:color="auto"/>
              <w:left w:val="nil"/>
              <w:bottom w:val="single" w:sz="4" w:space="0" w:color="auto"/>
              <w:right w:val="single" w:sz="4" w:space="0" w:color="auto"/>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Положительное</w:t>
            </w:r>
          </w:p>
        </w:tc>
        <w:tc>
          <w:tcPr>
            <w:tcW w:w="1412" w:type="dxa"/>
            <w:gridSpan w:val="3"/>
            <w:noWrap/>
            <w:vAlign w:val="bottom"/>
          </w:tcPr>
          <w:p w:rsidR="000D732C" w:rsidRDefault="000D732C">
            <w:pPr>
              <w:rPr>
                <w:rFonts w:ascii="Arial" w:hAnsi="Arial" w:cs="Arial"/>
                <w:color w:val="000000"/>
                <w:sz w:val="20"/>
                <w:szCs w:val="20"/>
              </w:rPr>
            </w:pPr>
          </w:p>
        </w:tc>
        <w:tc>
          <w:tcPr>
            <w:tcW w:w="12109" w:type="dxa"/>
            <w:gridSpan w:val="6"/>
            <w:vMerge/>
            <w:vAlign w:val="center"/>
            <w:hideMark/>
          </w:tcPr>
          <w:p w:rsidR="000D732C" w:rsidRDefault="000D732C">
            <w:pPr>
              <w:rPr>
                <w:rFonts w:ascii="Calibri" w:hAnsi="Calibri" w:cs="Calibri"/>
                <w:b/>
                <w:bCs/>
                <w:color w:val="000000"/>
                <w:sz w:val="40"/>
                <w:szCs w:val="4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tcBorders>
              <w:top w:val="nil"/>
              <w:left w:val="single" w:sz="4" w:space="0" w:color="auto"/>
              <w:bottom w:val="single" w:sz="4" w:space="0" w:color="auto"/>
              <w:right w:val="single" w:sz="4" w:space="0" w:color="auto"/>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0,2</w:t>
            </w:r>
          </w:p>
        </w:tc>
        <w:tc>
          <w:tcPr>
            <w:tcW w:w="1494" w:type="dxa"/>
            <w:tcBorders>
              <w:top w:val="nil"/>
              <w:left w:val="nil"/>
              <w:bottom w:val="single" w:sz="4" w:space="0" w:color="auto"/>
              <w:right w:val="single" w:sz="4" w:space="0" w:color="auto"/>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w:t>
            </w:r>
          </w:p>
        </w:tc>
        <w:tc>
          <w:tcPr>
            <w:tcW w:w="1498" w:type="dxa"/>
            <w:tcBorders>
              <w:top w:val="nil"/>
              <w:left w:val="nil"/>
              <w:bottom w:val="single" w:sz="4" w:space="0" w:color="auto"/>
              <w:right w:val="single" w:sz="4" w:space="0" w:color="auto"/>
            </w:tcBorders>
            <w:vAlign w:val="center"/>
            <w:hideMark/>
          </w:tcPr>
          <w:p w:rsidR="000D732C" w:rsidRDefault="000D732C">
            <w:pPr>
              <w:ind w:firstLineChars="200" w:firstLine="400"/>
              <w:rPr>
                <w:rFonts w:ascii="Arial" w:hAnsi="Arial" w:cs="Arial"/>
                <w:color w:val="000000"/>
                <w:sz w:val="20"/>
                <w:szCs w:val="20"/>
              </w:rPr>
            </w:pPr>
            <w:r>
              <w:rPr>
                <w:rFonts w:ascii="Arial" w:hAnsi="Arial" w:cs="Arial"/>
                <w:color w:val="000000"/>
                <w:sz w:val="20"/>
                <w:szCs w:val="20"/>
              </w:rPr>
              <w:t>BB</w:t>
            </w:r>
          </w:p>
        </w:tc>
        <w:tc>
          <w:tcPr>
            <w:tcW w:w="2639" w:type="dxa"/>
            <w:gridSpan w:val="3"/>
            <w:tcBorders>
              <w:top w:val="single" w:sz="4" w:space="0" w:color="auto"/>
              <w:left w:val="nil"/>
              <w:bottom w:val="single" w:sz="4" w:space="0" w:color="auto"/>
              <w:right w:val="single" w:sz="4" w:space="0" w:color="auto"/>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Нормальное</w:t>
            </w:r>
          </w:p>
        </w:tc>
        <w:tc>
          <w:tcPr>
            <w:tcW w:w="1412" w:type="dxa"/>
            <w:gridSpan w:val="3"/>
            <w:noWrap/>
            <w:vAlign w:val="bottom"/>
          </w:tcPr>
          <w:p w:rsidR="000D732C" w:rsidRDefault="000D732C">
            <w:pPr>
              <w:rPr>
                <w:rFonts w:ascii="Arial" w:hAnsi="Arial" w:cs="Arial"/>
                <w:color w:val="000000"/>
                <w:sz w:val="20"/>
                <w:szCs w:val="20"/>
              </w:rPr>
            </w:pPr>
          </w:p>
        </w:tc>
        <w:tc>
          <w:tcPr>
            <w:tcW w:w="1039" w:type="dxa"/>
            <w:gridSpan w:val="3"/>
            <w:noWrap/>
            <w:vAlign w:val="bottom"/>
          </w:tcPr>
          <w:p w:rsidR="000D732C" w:rsidRDefault="000D732C">
            <w:pPr>
              <w:rPr>
                <w:sz w:val="20"/>
                <w:szCs w:val="20"/>
              </w:rPr>
            </w:pPr>
          </w:p>
        </w:tc>
        <w:tc>
          <w:tcPr>
            <w:tcW w:w="1417" w:type="dxa"/>
            <w:gridSpan w:val="3"/>
            <w:noWrap/>
            <w:vAlign w:val="bottom"/>
          </w:tcPr>
          <w:p w:rsidR="000D732C" w:rsidRDefault="000D732C">
            <w:pPr>
              <w:rPr>
                <w:sz w:val="20"/>
                <w:szCs w:val="2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tcBorders>
              <w:top w:val="nil"/>
              <w:left w:val="single" w:sz="4" w:space="0" w:color="auto"/>
              <w:bottom w:val="single" w:sz="4" w:space="0" w:color="auto"/>
              <w:right w:val="single" w:sz="4" w:space="0" w:color="auto"/>
            </w:tcBorders>
            <w:vAlign w:val="center"/>
            <w:hideMark/>
          </w:tcPr>
          <w:p w:rsidR="000D732C" w:rsidRDefault="000D732C">
            <w:pPr>
              <w:jc w:val="center"/>
              <w:rPr>
                <w:rFonts w:ascii="Arial" w:hAnsi="Arial" w:cs="Arial"/>
                <w:color w:val="000000"/>
                <w:sz w:val="20"/>
                <w:szCs w:val="20"/>
                <w:lang w:val="en-US"/>
              </w:rPr>
            </w:pPr>
            <w:r>
              <w:rPr>
                <w:rFonts w:ascii="Arial" w:hAnsi="Arial" w:cs="Arial"/>
                <w:color w:val="000000"/>
                <w:sz w:val="20"/>
                <w:szCs w:val="20"/>
                <w:lang w:val="en-US"/>
              </w:rPr>
              <w:t>-0</w:t>
            </w:r>
            <w:r>
              <w:rPr>
                <w:rFonts w:ascii="Arial" w:hAnsi="Arial" w:cs="Arial"/>
                <w:color w:val="000000"/>
                <w:sz w:val="20"/>
                <w:szCs w:val="20"/>
              </w:rPr>
              <w:t>,</w:t>
            </w:r>
            <w:r>
              <w:rPr>
                <w:rFonts w:ascii="Arial" w:hAnsi="Arial" w:cs="Arial"/>
                <w:color w:val="000000"/>
                <w:sz w:val="20"/>
                <w:szCs w:val="20"/>
                <w:lang w:val="en-US"/>
              </w:rPr>
              <w:t>1</w:t>
            </w:r>
          </w:p>
        </w:tc>
        <w:tc>
          <w:tcPr>
            <w:tcW w:w="1494" w:type="dxa"/>
            <w:tcBorders>
              <w:top w:val="nil"/>
              <w:left w:val="nil"/>
              <w:bottom w:val="single" w:sz="4" w:space="0" w:color="auto"/>
              <w:right w:val="single" w:sz="4" w:space="0" w:color="auto"/>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-0,2</w:t>
            </w:r>
          </w:p>
        </w:tc>
        <w:tc>
          <w:tcPr>
            <w:tcW w:w="1498" w:type="dxa"/>
            <w:tcBorders>
              <w:top w:val="nil"/>
              <w:left w:val="nil"/>
              <w:bottom w:val="single" w:sz="4" w:space="0" w:color="auto"/>
              <w:right w:val="single" w:sz="4" w:space="0" w:color="auto"/>
            </w:tcBorders>
            <w:vAlign w:val="center"/>
            <w:hideMark/>
          </w:tcPr>
          <w:p w:rsidR="000D732C" w:rsidRDefault="000D732C">
            <w:pPr>
              <w:ind w:firstLineChars="200" w:firstLine="400"/>
              <w:rPr>
                <w:rFonts w:ascii="Arial" w:hAnsi="Arial" w:cs="Arial"/>
                <w:color w:val="000000"/>
                <w:sz w:val="20"/>
                <w:szCs w:val="20"/>
              </w:rPr>
            </w:pPr>
            <w:r>
              <w:rPr>
                <w:rFonts w:ascii="Arial" w:hAnsi="Arial" w:cs="Arial"/>
                <w:color w:val="000000"/>
                <w:sz w:val="20"/>
                <w:szCs w:val="20"/>
              </w:rPr>
              <w:t>B</w:t>
            </w:r>
          </w:p>
        </w:tc>
        <w:tc>
          <w:tcPr>
            <w:tcW w:w="2639" w:type="dxa"/>
            <w:gridSpan w:val="3"/>
            <w:tcBorders>
              <w:top w:val="single" w:sz="4" w:space="0" w:color="auto"/>
              <w:left w:val="nil"/>
              <w:bottom w:val="single" w:sz="4" w:space="0" w:color="auto"/>
              <w:right w:val="single" w:sz="4" w:space="0" w:color="auto"/>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Удовлетворительное</w:t>
            </w:r>
          </w:p>
        </w:tc>
        <w:tc>
          <w:tcPr>
            <w:tcW w:w="1412" w:type="dxa"/>
            <w:gridSpan w:val="3"/>
            <w:noWrap/>
            <w:vAlign w:val="bottom"/>
          </w:tcPr>
          <w:p w:rsidR="000D732C" w:rsidRDefault="000D732C">
            <w:pPr>
              <w:rPr>
                <w:rFonts w:ascii="Arial" w:hAnsi="Arial" w:cs="Arial"/>
                <w:color w:val="000000"/>
                <w:sz w:val="20"/>
                <w:szCs w:val="20"/>
              </w:rPr>
            </w:pPr>
          </w:p>
        </w:tc>
        <w:tc>
          <w:tcPr>
            <w:tcW w:w="1039" w:type="dxa"/>
            <w:gridSpan w:val="3"/>
            <w:noWrap/>
            <w:vAlign w:val="bottom"/>
          </w:tcPr>
          <w:p w:rsidR="000D732C" w:rsidRDefault="000D732C">
            <w:pPr>
              <w:rPr>
                <w:sz w:val="20"/>
                <w:szCs w:val="20"/>
              </w:rPr>
            </w:pPr>
          </w:p>
        </w:tc>
        <w:tc>
          <w:tcPr>
            <w:tcW w:w="1417" w:type="dxa"/>
            <w:gridSpan w:val="3"/>
            <w:noWrap/>
            <w:vAlign w:val="bottom"/>
          </w:tcPr>
          <w:p w:rsidR="000D732C" w:rsidRDefault="000D732C">
            <w:pPr>
              <w:rPr>
                <w:sz w:val="20"/>
                <w:szCs w:val="2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tcBorders>
              <w:top w:val="nil"/>
              <w:left w:val="single" w:sz="4" w:space="0" w:color="auto"/>
              <w:bottom w:val="single" w:sz="4" w:space="0" w:color="auto"/>
              <w:right w:val="single" w:sz="4" w:space="0" w:color="auto"/>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-0,2</w:t>
            </w:r>
          </w:p>
        </w:tc>
        <w:tc>
          <w:tcPr>
            <w:tcW w:w="1494" w:type="dxa"/>
            <w:tcBorders>
              <w:top w:val="nil"/>
              <w:left w:val="nil"/>
              <w:bottom w:val="single" w:sz="4" w:space="0" w:color="auto"/>
              <w:right w:val="single" w:sz="4" w:space="0" w:color="auto"/>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-0,4</w:t>
            </w:r>
          </w:p>
        </w:tc>
        <w:tc>
          <w:tcPr>
            <w:tcW w:w="1498" w:type="dxa"/>
            <w:tcBorders>
              <w:top w:val="nil"/>
              <w:left w:val="nil"/>
              <w:bottom w:val="single" w:sz="4" w:space="0" w:color="auto"/>
              <w:right w:val="single" w:sz="4" w:space="0" w:color="auto"/>
            </w:tcBorders>
            <w:vAlign w:val="center"/>
            <w:hideMark/>
          </w:tcPr>
          <w:p w:rsidR="000D732C" w:rsidRDefault="000D732C">
            <w:pPr>
              <w:ind w:firstLineChars="200" w:firstLine="400"/>
              <w:rPr>
                <w:rFonts w:ascii="Arial" w:hAnsi="Arial" w:cs="Arial"/>
                <w:color w:val="000000"/>
                <w:sz w:val="20"/>
                <w:szCs w:val="20"/>
              </w:rPr>
            </w:pPr>
            <w:r>
              <w:rPr>
                <w:rFonts w:ascii="Arial" w:hAnsi="Arial" w:cs="Arial"/>
                <w:color w:val="000000"/>
                <w:sz w:val="20"/>
                <w:szCs w:val="20"/>
              </w:rPr>
              <w:t>CCC</w:t>
            </w:r>
          </w:p>
        </w:tc>
        <w:tc>
          <w:tcPr>
            <w:tcW w:w="2639" w:type="dxa"/>
            <w:gridSpan w:val="3"/>
            <w:tcBorders>
              <w:top w:val="single" w:sz="4" w:space="0" w:color="auto"/>
              <w:left w:val="nil"/>
              <w:bottom w:val="single" w:sz="4" w:space="0" w:color="auto"/>
              <w:right w:val="single" w:sz="4" w:space="0" w:color="auto"/>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Неудовлетворительное</w:t>
            </w:r>
          </w:p>
        </w:tc>
        <w:tc>
          <w:tcPr>
            <w:tcW w:w="1412" w:type="dxa"/>
            <w:gridSpan w:val="3"/>
            <w:noWrap/>
            <w:vAlign w:val="bottom"/>
          </w:tcPr>
          <w:p w:rsidR="000D732C" w:rsidRDefault="000D732C">
            <w:pPr>
              <w:rPr>
                <w:rFonts w:ascii="Arial" w:hAnsi="Arial" w:cs="Arial"/>
                <w:color w:val="000000"/>
                <w:sz w:val="20"/>
                <w:szCs w:val="20"/>
              </w:rPr>
            </w:pPr>
          </w:p>
        </w:tc>
        <w:tc>
          <w:tcPr>
            <w:tcW w:w="1039" w:type="dxa"/>
            <w:gridSpan w:val="3"/>
            <w:noWrap/>
            <w:vAlign w:val="bottom"/>
          </w:tcPr>
          <w:p w:rsidR="000D732C" w:rsidRDefault="000D732C">
            <w:pPr>
              <w:rPr>
                <w:sz w:val="20"/>
                <w:szCs w:val="20"/>
              </w:rPr>
            </w:pPr>
          </w:p>
        </w:tc>
        <w:tc>
          <w:tcPr>
            <w:tcW w:w="1417" w:type="dxa"/>
            <w:gridSpan w:val="3"/>
            <w:noWrap/>
            <w:vAlign w:val="bottom"/>
          </w:tcPr>
          <w:p w:rsidR="000D732C" w:rsidRDefault="000D732C">
            <w:pPr>
              <w:rPr>
                <w:sz w:val="20"/>
                <w:szCs w:val="2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tcBorders>
              <w:top w:val="nil"/>
              <w:left w:val="single" w:sz="4" w:space="0" w:color="auto"/>
              <w:bottom w:val="single" w:sz="4" w:space="0" w:color="auto"/>
              <w:right w:val="single" w:sz="4" w:space="0" w:color="auto"/>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-0,4</w:t>
            </w:r>
          </w:p>
        </w:tc>
        <w:tc>
          <w:tcPr>
            <w:tcW w:w="1494" w:type="dxa"/>
            <w:tcBorders>
              <w:top w:val="nil"/>
              <w:left w:val="nil"/>
              <w:bottom w:val="single" w:sz="4" w:space="0" w:color="auto"/>
              <w:right w:val="single" w:sz="4" w:space="0" w:color="auto"/>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-0,6</w:t>
            </w:r>
          </w:p>
        </w:tc>
        <w:tc>
          <w:tcPr>
            <w:tcW w:w="1498" w:type="dxa"/>
            <w:tcBorders>
              <w:top w:val="nil"/>
              <w:left w:val="nil"/>
              <w:bottom w:val="single" w:sz="4" w:space="0" w:color="auto"/>
              <w:right w:val="single" w:sz="4" w:space="0" w:color="auto"/>
            </w:tcBorders>
            <w:vAlign w:val="center"/>
            <w:hideMark/>
          </w:tcPr>
          <w:p w:rsidR="000D732C" w:rsidRDefault="000D732C">
            <w:pPr>
              <w:ind w:firstLineChars="200" w:firstLine="400"/>
              <w:rPr>
                <w:rFonts w:ascii="Arial" w:hAnsi="Arial" w:cs="Arial"/>
                <w:color w:val="000000"/>
                <w:sz w:val="20"/>
                <w:szCs w:val="20"/>
              </w:rPr>
            </w:pPr>
            <w:r>
              <w:rPr>
                <w:rFonts w:ascii="Arial" w:hAnsi="Arial" w:cs="Arial"/>
                <w:color w:val="000000"/>
                <w:sz w:val="20"/>
                <w:szCs w:val="20"/>
              </w:rPr>
              <w:t>CC</w:t>
            </w:r>
          </w:p>
        </w:tc>
        <w:tc>
          <w:tcPr>
            <w:tcW w:w="2639" w:type="dxa"/>
            <w:gridSpan w:val="3"/>
            <w:tcBorders>
              <w:top w:val="single" w:sz="4" w:space="0" w:color="auto"/>
              <w:left w:val="nil"/>
              <w:bottom w:val="single" w:sz="4" w:space="0" w:color="auto"/>
              <w:right w:val="single" w:sz="4" w:space="0" w:color="auto"/>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Плохое</w:t>
            </w:r>
          </w:p>
        </w:tc>
        <w:tc>
          <w:tcPr>
            <w:tcW w:w="1412" w:type="dxa"/>
            <w:gridSpan w:val="3"/>
            <w:noWrap/>
            <w:vAlign w:val="bottom"/>
          </w:tcPr>
          <w:p w:rsidR="000D732C" w:rsidRDefault="000D732C">
            <w:pPr>
              <w:rPr>
                <w:rFonts w:ascii="Arial" w:hAnsi="Arial" w:cs="Arial"/>
                <w:color w:val="000000"/>
                <w:sz w:val="20"/>
                <w:szCs w:val="20"/>
              </w:rPr>
            </w:pPr>
          </w:p>
        </w:tc>
        <w:tc>
          <w:tcPr>
            <w:tcW w:w="1039" w:type="dxa"/>
            <w:gridSpan w:val="3"/>
            <w:noWrap/>
            <w:vAlign w:val="bottom"/>
          </w:tcPr>
          <w:p w:rsidR="000D732C" w:rsidRDefault="000D732C">
            <w:pPr>
              <w:rPr>
                <w:sz w:val="20"/>
                <w:szCs w:val="20"/>
              </w:rPr>
            </w:pPr>
          </w:p>
        </w:tc>
        <w:tc>
          <w:tcPr>
            <w:tcW w:w="1417" w:type="dxa"/>
            <w:gridSpan w:val="3"/>
            <w:noWrap/>
            <w:vAlign w:val="bottom"/>
          </w:tcPr>
          <w:p w:rsidR="000D732C" w:rsidRDefault="000D732C">
            <w:pPr>
              <w:rPr>
                <w:sz w:val="20"/>
                <w:szCs w:val="2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tcBorders>
              <w:top w:val="nil"/>
              <w:left w:val="single" w:sz="4" w:space="0" w:color="auto"/>
              <w:bottom w:val="single" w:sz="4" w:space="0" w:color="auto"/>
              <w:right w:val="single" w:sz="4" w:space="0" w:color="auto"/>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-0,6</w:t>
            </w:r>
          </w:p>
        </w:tc>
        <w:tc>
          <w:tcPr>
            <w:tcW w:w="1494" w:type="dxa"/>
            <w:tcBorders>
              <w:top w:val="nil"/>
              <w:left w:val="nil"/>
              <w:bottom w:val="single" w:sz="4" w:space="0" w:color="auto"/>
              <w:right w:val="single" w:sz="4" w:space="0" w:color="auto"/>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-0,8</w:t>
            </w:r>
          </w:p>
        </w:tc>
        <w:tc>
          <w:tcPr>
            <w:tcW w:w="1498" w:type="dxa"/>
            <w:tcBorders>
              <w:top w:val="nil"/>
              <w:left w:val="nil"/>
              <w:bottom w:val="single" w:sz="4" w:space="0" w:color="auto"/>
              <w:right w:val="single" w:sz="4" w:space="0" w:color="auto"/>
            </w:tcBorders>
            <w:vAlign w:val="center"/>
            <w:hideMark/>
          </w:tcPr>
          <w:p w:rsidR="000D732C" w:rsidRDefault="000D732C">
            <w:pPr>
              <w:ind w:firstLineChars="200" w:firstLine="400"/>
              <w:rPr>
                <w:rFonts w:ascii="Arial" w:hAnsi="Arial" w:cs="Arial"/>
                <w:color w:val="000000"/>
                <w:sz w:val="20"/>
                <w:szCs w:val="20"/>
              </w:rPr>
            </w:pPr>
            <w:r>
              <w:rPr>
                <w:rFonts w:ascii="Arial" w:hAnsi="Arial" w:cs="Arial"/>
                <w:color w:val="000000"/>
                <w:sz w:val="20"/>
                <w:szCs w:val="20"/>
              </w:rPr>
              <w:t>C</w:t>
            </w:r>
          </w:p>
        </w:tc>
        <w:tc>
          <w:tcPr>
            <w:tcW w:w="2639" w:type="dxa"/>
            <w:gridSpan w:val="3"/>
            <w:tcBorders>
              <w:top w:val="single" w:sz="4" w:space="0" w:color="auto"/>
              <w:left w:val="nil"/>
              <w:bottom w:val="single" w:sz="4" w:space="0" w:color="auto"/>
              <w:right w:val="single" w:sz="4" w:space="0" w:color="auto"/>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Очень плохое</w:t>
            </w:r>
          </w:p>
        </w:tc>
        <w:tc>
          <w:tcPr>
            <w:tcW w:w="1412" w:type="dxa"/>
            <w:gridSpan w:val="3"/>
            <w:noWrap/>
            <w:vAlign w:val="bottom"/>
          </w:tcPr>
          <w:p w:rsidR="000D732C" w:rsidRDefault="000D732C">
            <w:pPr>
              <w:rPr>
                <w:rFonts w:ascii="Arial" w:hAnsi="Arial" w:cs="Arial"/>
                <w:color w:val="000000"/>
                <w:sz w:val="20"/>
                <w:szCs w:val="20"/>
              </w:rPr>
            </w:pPr>
          </w:p>
        </w:tc>
        <w:tc>
          <w:tcPr>
            <w:tcW w:w="1039" w:type="dxa"/>
            <w:gridSpan w:val="3"/>
            <w:noWrap/>
            <w:vAlign w:val="bottom"/>
          </w:tcPr>
          <w:p w:rsidR="000D732C" w:rsidRDefault="000D732C">
            <w:pPr>
              <w:rPr>
                <w:sz w:val="20"/>
                <w:szCs w:val="20"/>
              </w:rPr>
            </w:pPr>
          </w:p>
        </w:tc>
        <w:tc>
          <w:tcPr>
            <w:tcW w:w="1417" w:type="dxa"/>
            <w:gridSpan w:val="3"/>
            <w:noWrap/>
            <w:vAlign w:val="bottom"/>
          </w:tcPr>
          <w:p w:rsidR="000D732C" w:rsidRDefault="000D732C">
            <w:pPr>
              <w:rPr>
                <w:sz w:val="20"/>
                <w:szCs w:val="2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r w:rsidR="000D732C" w:rsidTr="000D732C">
        <w:trPr>
          <w:trHeight w:val="300"/>
        </w:trPr>
        <w:tc>
          <w:tcPr>
            <w:tcW w:w="830" w:type="dxa"/>
            <w:noWrap/>
            <w:vAlign w:val="bottom"/>
          </w:tcPr>
          <w:p w:rsidR="000D732C" w:rsidRDefault="000D732C">
            <w:pPr>
              <w:rPr>
                <w:sz w:val="20"/>
                <w:szCs w:val="20"/>
              </w:rPr>
            </w:pPr>
          </w:p>
        </w:tc>
        <w:tc>
          <w:tcPr>
            <w:tcW w:w="3982" w:type="dxa"/>
            <w:tcBorders>
              <w:top w:val="nil"/>
              <w:left w:val="single" w:sz="4" w:space="0" w:color="auto"/>
              <w:bottom w:val="single" w:sz="4" w:space="0" w:color="auto"/>
              <w:right w:val="single" w:sz="4" w:space="0" w:color="auto"/>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-0,8</w:t>
            </w:r>
          </w:p>
        </w:tc>
        <w:tc>
          <w:tcPr>
            <w:tcW w:w="1494" w:type="dxa"/>
            <w:tcBorders>
              <w:top w:val="nil"/>
              <w:left w:val="nil"/>
              <w:bottom w:val="single" w:sz="4" w:space="0" w:color="auto"/>
              <w:right w:val="single" w:sz="4" w:space="0" w:color="auto"/>
            </w:tcBorders>
            <w:vAlign w:val="center"/>
            <w:hideMark/>
          </w:tcPr>
          <w:p w:rsidR="000D732C" w:rsidRDefault="000D732C">
            <w:pPr>
              <w:jc w:val="center"/>
              <w:rPr>
                <w:rFonts w:ascii="Arial" w:hAnsi="Arial" w:cs="Arial"/>
                <w:color w:val="000000"/>
                <w:sz w:val="20"/>
                <w:szCs w:val="20"/>
              </w:rPr>
            </w:pPr>
            <w:r>
              <w:rPr>
                <w:rFonts w:ascii="Arial" w:hAnsi="Arial" w:cs="Arial"/>
                <w:color w:val="000000"/>
                <w:sz w:val="20"/>
                <w:szCs w:val="20"/>
              </w:rPr>
              <w:t>-1</w:t>
            </w:r>
          </w:p>
        </w:tc>
        <w:tc>
          <w:tcPr>
            <w:tcW w:w="1498" w:type="dxa"/>
            <w:tcBorders>
              <w:top w:val="nil"/>
              <w:left w:val="nil"/>
              <w:bottom w:val="single" w:sz="4" w:space="0" w:color="auto"/>
              <w:right w:val="single" w:sz="4" w:space="0" w:color="auto"/>
            </w:tcBorders>
            <w:vAlign w:val="center"/>
            <w:hideMark/>
          </w:tcPr>
          <w:p w:rsidR="000D732C" w:rsidRDefault="000D732C">
            <w:pPr>
              <w:ind w:firstLineChars="200" w:firstLine="400"/>
              <w:rPr>
                <w:rFonts w:ascii="Arial" w:hAnsi="Arial" w:cs="Arial"/>
                <w:color w:val="000000"/>
                <w:sz w:val="20"/>
                <w:szCs w:val="20"/>
              </w:rPr>
            </w:pPr>
            <w:r>
              <w:rPr>
                <w:rFonts w:ascii="Arial" w:hAnsi="Arial" w:cs="Arial"/>
                <w:color w:val="000000"/>
                <w:sz w:val="20"/>
                <w:szCs w:val="20"/>
              </w:rPr>
              <w:t>D</w:t>
            </w:r>
          </w:p>
        </w:tc>
        <w:tc>
          <w:tcPr>
            <w:tcW w:w="2639" w:type="dxa"/>
            <w:gridSpan w:val="3"/>
            <w:tcBorders>
              <w:top w:val="single" w:sz="4" w:space="0" w:color="auto"/>
              <w:left w:val="nil"/>
              <w:bottom w:val="single" w:sz="4" w:space="0" w:color="auto"/>
              <w:right w:val="single" w:sz="4" w:space="0" w:color="auto"/>
            </w:tcBorders>
            <w:vAlign w:val="center"/>
            <w:hideMark/>
          </w:tcPr>
          <w:p w:rsidR="000D732C" w:rsidRDefault="000D732C">
            <w:pPr>
              <w:rPr>
                <w:rFonts w:ascii="Arial" w:hAnsi="Arial" w:cs="Arial"/>
                <w:color w:val="000000"/>
                <w:sz w:val="20"/>
                <w:szCs w:val="20"/>
              </w:rPr>
            </w:pPr>
            <w:r>
              <w:rPr>
                <w:rFonts w:ascii="Arial" w:hAnsi="Arial" w:cs="Arial"/>
                <w:color w:val="000000"/>
                <w:sz w:val="20"/>
                <w:szCs w:val="20"/>
              </w:rPr>
              <w:t>Критическое</w:t>
            </w:r>
          </w:p>
        </w:tc>
        <w:tc>
          <w:tcPr>
            <w:tcW w:w="1412" w:type="dxa"/>
            <w:gridSpan w:val="3"/>
            <w:noWrap/>
            <w:vAlign w:val="bottom"/>
          </w:tcPr>
          <w:p w:rsidR="000D732C" w:rsidRDefault="000D732C">
            <w:pPr>
              <w:rPr>
                <w:rFonts w:ascii="Arial" w:hAnsi="Arial" w:cs="Arial"/>
                <w:color w:val="000000"/>
                <w:sz w:val="20"/>
                <w:szCs w:val="20"/>
              </w:rPr>
            </w:pPr>
          </w:p>
        </w:tc>
        <w:tc>
          <w:tcPr>
            <w:tcW w:w="1039" w:type="dxa"/>
            <w:gridSpan w:val="3"/>
            <w:noWrap/>
            <w:vAlign w:val="bottom"/>
          </w:tcPr>
          <w:p w:rsidR="000D732C" w:rsidRDefault="000D732C">
            <w:pPr>
              <w:rPr>
                <w:sz w:val="20"/>
                <w:szCs w:val="20"/>
              </w:rPr>
            </w:pPr>
          </w:p>
        </w:tc>
        <w:tc>
          <w:tcPr>
            <w:tcW w:w="1417" w:type="dxa"/>
            <w:gridSpan w:val="3"/>
            <w:noWrap/>
            <w:vAlign w:val="bottom"/>
          </w:tcPr>
          <w:p w:rsidR="000D732C" w:rsidRDefault="000D732C">
            <w:pPr>
              <w:rPr>
                <w:sz w:val="20"/>
                <w:szCs w:val="20"/>
              </w:rPr>
            </w:pPr>
          </w:p>
        </w:tc>
        <w:tc>
          <w:tcPr>
            <w:tcW w:w="1704" w:type="dxa"/>
            <w:noWrap/>
            <w:vAlign w:val="bottom"/>
          </w:tcPr>
          <w:p w:rsidR="000D732C" w:rsidRDefault="000D732C">
            <w:pPr>
              <w:rPr>
                <w:sz w:val="20"/>
                <w:szCs w:val="20"/>
              </w:rPr>
            </w:pPr>
          </w:p>
        </w:tc>
        <w:tc>
          <w:tcPr>
            <w:tcW w:w="243" w:type="dxa"/>
            <w:gridSpan w:val="2"/>
            <w:noWrap/>
            <w:vAlign w:val="bottom"/>
          </w:tcPr>
          <w:p w:rsidR="000D732C" w:rsidRDefault="000D732C">
            <w:pPr>
              <w:rPr>
                <w:sz w:val="20"/>
                <w:szCs w:val="20"/>
              </w:rPr>
            </w:pPr>
          </w:p>
        </w:tc>
      </w:tr>
    </w:tbl>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iCs/>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iCs/>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iCs/>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iCs/>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iCs/>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iCs/>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iCs/>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Cs/>
        </w:rPr>
        <w:sectPr w:rsidR="000D732C">
          <w:pgSz w:w="16838" w:h="11906" w:orient="landscape"/>
          <w:pgMar w:top="1259" w:right="851" w:bottom="851" w:left="902" w:header="709" w:footer="709" w:gutter="0"/>
          <w:pgBorders w:zOrder="back" w:display="notFirstPage">
            <w:top w:val="single" w:sz="4" w:space="10" w:color="auto"/>
            <w:bottom w:val="single" w:sz="4" w:space="10" w:color="auto"/>
          </w:pgBorders>
          <w:cols w:space="720"/>
        </w:sect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iCs/>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13. ВСПОМОГАТЕЛЬНЫЕ КОЭФФИЦИЕНТЫ ДЛЯ ФИНАНСОВОГО АНАЛИЗА</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iCs/>
        </w:rPr>
      </w:pPr>
    </w:p>
    <w:p w:rsidR="000D732C" w:rsidRDefault="000D732C" w:rsidP="000D732C">
      <w:pPr>
        <w:pStyle w:val="HTML"/>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 Коэффициент </w:t>
      </w:r>
      <w:proofErr w:type="gramStart"/>
      <w:r>
        <w:rPr>
          <w:rFonts w:ascii="Times New Roman" w:hAnsi="Times New Roman" w:cs="Times New Roman"/>
          <w:b/>
          <w:sz w:val="24"/>
          <w:szCs w:val="24"/>
          <w:u w:val="single"/>
        </w:rPr>
        <w:t>финансового</w:t>
      </w:r>
      <w:proofErr w:type="gram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левериджа</w:t>
      </w:r>
      <w:proofErr w:type="spellEnd"/>
    </w:p>
    <w:p w:rsidR="000D732C" w:rsidRDefault="000D732C" w:rsidP="000D732C">
      <w:pPr>
        <w:pStyle w:val="HTML"/>
        <w:jc w:val="both"/>
        <w:rPr>
          <w:rFonts w:ascii="Times New Roman" w:hAnsi="Times New Roman" w:cs="Times New Roman"/>
          <w:b/>
          <w:sz w:val="24"/>
          <w:szCs w:val="24"/>
          <w:u w:val="single"/>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 xml:space="preserve">Коэффициент финансового </w:t>
      </w:r>
      <w:proofErr w:type="spellStart"/>
      <w:r>
        <w:rPr>
          <w:rFonts w:ascii="Times New Roman" w:hAnsi="Times New Roman" w:cs="Times New Roman"/>
          <w:sz w:val="24"/>
          <w:szCs w:val="24"/>
        </w:rPr>
        <w:t>левериджа</w:t>
      </w:r>
      <w:proofErr w:type="spellEnd"/>
      <w:r>
        <w:rPr>
          <w:rFonts w:ascii="Times New Roman" w:hAnsi="Times New Roman" w:cs="Times New Roman"/>
          <w:sz w:val="24"/>
          <w:szCs w:val="24"/>
        </w:rPr>
        <w:t xml:space="preserve"> показывает соотношение заемных средств и суммарной капитализации и характеризует степень эффективности использования компанией собственного капитала. Он определяет, насколько велика зависимость компании от заемных средств. Коэффициент капитализации используют только в контексте одной отрасли промышленности, а также доходов и потоков наличных денежных средств компании. Рассчитывается по следующей формуле:</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center"/>
        <w:rPr>
          <w:rFonts w:ascii="Times New Roman" w:hAnsi="Times New Roman" w:cs="Times New Roman"/>
          <w:b/>
          <w:sz w:val="24"/>
          <w:szCs w:val="24"/>
          <w:u w:val="single"/>
        </w:rPr>
      </w:pPr>
      <w:proofErr w:type="spellStart"/>
      <w:proofErr w:type="gramStart"/>
      <w:r>
        <w:rPr>
          <w:rFonts w:ascii="Times New Roman" w:hAnsi="Times New Roman" w:cs="Times New Roman"/>
          <w:b/>
          <w:sz w:val="24"/>
          <w:szCs w:val="24"/>
          <w:u w:val="single"/>
        </w:rPr>
        <w:t>K</w:t>
      </w:r>
      <w:proofErr w:type="gramEnd"/>
      <w:r>
        <w:rPr>
          <w:rFonts w:ascii="Times New Roman" w:hAnsi="Times New Roman" w:cs="Times New Roman"/>
          <w:b/>
          <w:sz w:val="24"/>
          <w:szCs w:val="24"/>
          <w:u w:val="single"/>
        </w:rPr>
        <w:t>фл</w:t>
      </w:r>
      <w:proofErr w:type="spellEnd"/>
      <w:r>
        <w:rPr>
          <w:rFonts w:ascii="Times New Roman" w:hAnsi="Times New Roman" w:cs="Times New Roman"/>
          <w:b/>
          <w:sz w:val="24"/>
          <w:szCs w:val="24"/>
          <w:u w:val="single"/>
        </w:rPr>
        <w:t xml:space="preserve"> = КО (стр. 1500) + ДО (стр. 1400) / СК</w:t>
      </w:r>
    </w:p>
    <w:p w:rsidR="000D732C" w:rsidRDefault="000D732C" w:rsidP="000D732C">
      <w:pPr>
        <w:pStyle w:val="HTML"/>
        <w:jc w:val="center"/>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Нормативное значение: 1,5 и менее (оптимальное 0,43-1).</w:t>
      </w:r>
    </w:p>
    <w:p w:rsidR="000D732C" w:rsidRDefault="000D732C" w:rsidP="000D732C">
      <w:pPr>
        <w:pStyle w:val="HTML"/>
        <w:jc w:val="both"/>
        <w:rPr>
          <w:rFonts w:ascii="Times New Roman" w:hAnsi="Times New Roman" w:cs="Times New Roman"/>
          <w:sz w:val="24"/>
          <w:szCs w:val="24"/>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u w:val="single"/>
        </w:rPr>
      </w:pPr>
      <w:r>
        <w:rPr>
          <w:b/>
          <w:u w:val="single"/>
        </w:rPr>
        <w:t>1.1. Индекс постоянного актива</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
        <w:t xml:space="preserve">Коэффициент постоянного актива определяется путем деления </w:t>
      </w:r>
      <w:proofErr w:type="spellStart"/>
      <w:r>
        <w:t>внеоборотных</w:t>
      </w:r>
      <w:proofErr w:type="spellEnd"/>
      <w:r>
        <w:t xml:space="preserve"> активов на собственный капитал организации. Он характеризует обеспеченность </w:t>
      </w:r>
      <w:proofErr w:type="spellStart"/>
      <w:r>
        <w:t>внеоборотных</w:t>
      </w:r>
      <w:proofErr w:type="spellEnd"/>
      <w:r>
        <w:t xml:space="preserve"> активов предприятия его собственными средствами и, следовательно, характеризует устойчивость финансового положения.</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
        <w:t>Для индекса постоянного актива (ИПА) формула по балансу выглядит так:</w:t>
      </w:r>
    </w:p>
    <w:p w:rsidR="000D732C" w:rsidRDefault="000D732C" w:rsidP="000D732C">
      <w:pPr>
        <w:pStyle w:val="HTML"/>
        <w:jc w:val="center"/>
        <w:rPr>
          <w:rFonts w:ascii="Times New Roman" w:hAnsi="Times New Roman" w:cs="Times New Roman"/>
          <w:b/>
          <w:sz w:val="24"/>
          <w:szCs w:val="24"/>
          <w:u w:val="single"/>
        </w:rPr>
      </w:pPr>
      <w:r>
        <w:rPr>
          <w:rFonts w:ascii="Times New Roman" w:hAnsi="Times New Roman" w:cs="Times New Roman"/>
          <w:b/>
          <w:sz w:val="24"/>
          <w:szCs w:val="24"/>
          <w:u w:val="single"/>
        </w:rPr>
        <w:t>ИПА = стр.1100 / стр.1300</w:t>
      </w:r>
    </w:p>
    <w:p w:rsidR="000D732C" w:rsidRDefault="000D732C" w:rsidP="000D732C">
      <w:pPr>
        <w:pStyle w:val="HTML"/>
        <w:jc w:val="center"/>
        <w:rPr>
          <w:rFonts w:ascii="Times New Roman" w:hAnsi="Times New Roman" w:cs="Times New Roman"/>
          <w:b/>
          <w:sz w:val="24"/>
          <w:szCs w:val="24"/>
          <w:u w:val="single"/>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u w:val="single"/>
        </w:rPr>
      </w:pPr>
      <w:r>
        <w:rPr>
          <w:b/>
          <w:u w:val="single"/>
        </w:rPr>
        <w:t>1.2</w:t>
      </w:r>
      <w:r>
        <w:rPr>
          <w:u w:val="single"/>
        </w:rPr>
        <w:t xml:space="preserve"> </w:t>
      </w:r>
      <w:r>
        <w:rPr>
          <w:b/>
          <w:u w:val="single"/>
        </w:rPr>
        <w:t>Коэффициент маневренности собственного капитала</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
        <w:t>Коэффициент маневренности собственного оборотного капитала показывает, способность предприятия поддерживать уровень собственного оборотного капитала и пополнять оборотные средства в случае необходимости за счет собственных источников.</w:t>
      </w:r>
    </w:p>
    <w:p w:rsidR="000D732C" w:rsidRDefault="000D732C" w:rsidP="000D732C">
      <w:pPr>
        <w:pStyle w:val="HTML"/>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Кмсок</w:t>
      </w:r>
      <w:proofErr w:type="spellEnd"/>
      <w:r>
        <w:rPr>
          <w:rFonts w:ascii="Times New Roman" w:hAnsi="Times New Roman" w:cs="Times New Roman"/>
          <w:b/>
          <w:sz w:val="24"/>
          <w:szCs w:val="24"/>
          <w:u w:val="single"/>
        </w:rPr>
        <w:t>= СОС  (стр. 1300 – 1100) / стр.1300</w:t>
      </w:r>
    </w:p>
    <w:p w:rsidR="000D732C" w:rsidRDefault="000D732C" w:rsidP="000D732C">
      <w:pPr>
        <w:pStyle w:val="HTML"/>
        <w:jc w:val="center"/>
        <w:rPr>
          <w:rFonts w:ascii="Times New Roman" w:hAnsi="Times New Roman" w:cs="Times New Roman"/>
          <w:b/>
          <w:sz w:val="24"/>
          <w:szCs w:val="24"/>
          <w:u w:val="single"/>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
        <w:t>Нормативное значение: 0,2 и более.</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u w:val="single"/>
        </w:rPr>
      </w:pPr>
      <w:r>
        <w:rPr>
          <w:b/>
          <w:u w:val="single"/>
        </w:rPr>
        <w:t>1.3 Коэффициент мобильности имущества</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
        <w:t>Коэффициент мобильности имущества - характеризует отношение оборотных сре</w:t>
      </w:r>
      <w:proofErr w:type="gramStart"/>
      <w:r>
        <w:t>дств к в</w:t>
      </w:r>
      <w:proofErr w:type="gramEnd"/>
      <w:r>
        <w:t>алюте баланса.</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b/>
        </w:rPr>
      </w:pPr>
      <w:proofErr w:type="spellStart"/>
      <w:proofErr w:type="gramStart"/>
      <w:r>
        <w:rPr>
          <w:b/>
        </w:rPr>
        <w:t>K</w:t>
      </w:r>
      <w:proofErr w:type="gramEnd"/>
      <w:r>
        <w:rPr>
          <w:b/>
        </w:rPr>
        <w:t>ми</w:t>
      </w:r>
      <w:proofErr w:type="spellEnd"/>
      <w:r>
        <w:rPr>
          <w:b/>
        </w:rPr>
        <w:t xml:space="preserve"> = стр.1200 / стр.1700</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
        <w:t>Нормативное значение: 0,2 - 0,5.</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u w:val="single"/>
        </w:rPr>
      </w:pPr>
      <w:r>
        <w:rPr>
          <w:b/>
          <w:u w:val="single"/>
        </w:rPr>
        <w:t>1.4 Коэффициент мобильности оборотных средств</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
        <w:t>Коэффициент мобильности оборотных средств - определяется делением наиболее мобильной части оборотных средств (денежных средств и финансовых вложений) к стоимости оборотных активов.</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b/>
        </w:rPr>
      </w:pPr>
      <w:proofErr w:type="spellStart"/>
      <w:proofErr w:type="gramStart"/>
      <w:r>
        <w:rPr>
          <w:b/>
        </w:rPr>
        <w:lastRenderedPageBreak/>
        <w:t>K</w:t>
      </w:r>
      <w:proofErr w:type="gramEnd"/>
      <w:r>
        <w:rPr>
          <w:b/>
        </w:rPr>
        <w:t>мос</w:t>
      </w:r>
      <w:proofErr w:type="spellEnd"/>
      <w:r>
        <w:rPr>
          <w:b/>
        </w:rPr>
        <w:t xml:space="preserve"> = стр.1240 + стр.1250 / стр.1200 </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inherit" w:hAnsi="inherit"/>
          <w:color w:val="000000"/>
          <w:shd w:val="clear" w:color="auto" w:fill="FFFFFF"/>
        </w:rPr>
      </w:pPr>
      <w:r>
        <w:t xml:space="preserve">Нормативное значение: </w:t>
      </w:r>
      <w:r>
        <w:rPr>
          <w:rFonts w:ascii="inherit" w:hAnsi="inherit"/>
          <w:color w:val="000000"/>
          <w:shd w:val="clear" w:color="auto" w:fill="FFFFFF"/>
        </w:rPr>
        <w:t>0,1-0,17.</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u w:val="single"/>
        </w:rPr>
      </w:pPr>
      <w:r>
        <w:rPr>
          <w:b/>
          <w:u w:val="single"/>
        </w:rPr>
        <w:t>1.5 Коэффициент обеспеченности запасов</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
        <w:t>Коэффициент обеспеченности запасов – это показатель финансовый устойчивости организации, определяющий, в какой степени материальные запасы организации покрыты ее собственными оборотными средствами.</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b/>
        </w:rPr>
      </w:pPr>
      <w:r>
        <w:rPr>
          <w:b/>
        </w:rPr>
        <w:t>Кос = (стр. 1300 – стр. 1100) / стр. 1210</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
        <w:t>Нормативное значение: 0,5 и более.</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u w:val="single"/>
        </w:rPr>
      </w:pPr>
      <w:r>
        <w:rPr>
          <w:b/>
          <w:u w:val="single"/>
        </w:rPr>
        <w:t>1.6 Коэффициент краткосрочной задолженности</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
        <w:rPr>
          <w:bCs/>
        </w:rPr>
        <w:t>Коэффициент краткосрочной задолженности</w:t>
      </w:r>
      <w:r>
        <w:t xml:space="preserve"> показывает долю краткосрочных обязатель</w:t>
      </w:r>
      <w:proofErr w:type="gramStart"/>
      <w:r>
        <w:t>ств пр</w:t>
      </w:r>
      <w:proofErr w:type="gramEnd"/>
      <w:r>
        <w:t>едприятия в общей сумме внешних обязательств (какая доля в общей сумме задолженности требует краткосрочного погашения).</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b/>
        </w:rPr>
      </w:pPr>
      <w:proofErr w:type="spellStart"/>
      <w:proofErr w:type="gramStart"/>
      <w:r>
        <w:rPr>
          <w:b/>
        </w:rPr>
        <w:t>K</w:t>
      </w:r>
      <w:proofErr w:type="gramEnd"/>
      <w:r>
        <w:rPr>
          <w:b/>
        </w:rPr>
        <w:t>кс</w:t>
      </w:r>
      <w:proofErr w:type="spellEnd"/>
      <w:r>
        <w:rPr>
          <w:b/>
        </w:rPr>
        <w:t xml:space="preserve"> = стр.1500/ стр.1400 + стр.1500</w:t>
      </w: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rPr>
        <w:t>Нормативное значение: 0 до 0,5</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iCs/>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u w:val="single"/>
        </w:rPr>
      </w:pPr>
      <w:r>
        <w:rPr>
          <w:b/>
        </w:rPr>
        <w:t xml:space="preserve"> </w:t>
      </w:r>
      <w:bookmarkStart w:id="58" w:name="_Toc435803496"/>
      <w:bookmarkStart w:id="59" w:name="_Toc435803469"/>
      <w:bookmarkStart w:id="60" w:name="_Toc421527208"/>
      <w:r>
        <w:rPr>
          <w:b/>
        </w:rPr>
        <w:t>2. Показатели, характеризующие деловую активность организации</w:t>
      </w:r>
      <w:bookmarkEnd w:id="58"/>
      <w:bookmarkEnd w:id="59"/>
      <w:bookmarkEnd w:id="60"/>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Эффективность деятельности организации, ее платежеспособность и ликвидность во многом зависят от динамики оборачиваемости активов. Текущее расходование денежных средств и их поступление, как правило, не совпадают по времени и в результате у организации возникает потребность в определенном объеме финансирования в целях поддержания платежеспособности. Таким образом, чем ниже скорость оборота оборотных активов, тем соответственно выше потребность организации в финансировании. </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Длительность нахождения средств в обороте определяется рядом внешних и внутренних факторов, в том числе имеет значение сфера деятельности организации, отраслевая принадлежность, масштабы предприятия, общая экономическая ситуация в стране, сложившаяся система расчетов с поставщиками и покупателями, методика оценки учета товарно-материальных запасов, эффективность стратегии управления, ценовая политика, структура активов и другие. При анализе данной группы показателей в случае сильного расхождения полученных значений от рекомендуемых нормативов желательно выявить реальную причину таких расхождений и вынести объективное суждение, так как каждый вид деятельности имеет свою собственную специфику и свои особенности ведения финансово-хозяйственной деятельности.</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К показателям, характеризующим деловую активность организации, относят:</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оборачиваемость активов;</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оборачиваемость запасов;</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оборачиваемость дебиторской задолженности;</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оборачиваемость кредиторской задолженности.</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оборачиваемость собственного капитала</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При этом</w:t>
      </w:r>
      <w:proofErr w:type="gramStart"/>
      <w:r>
        <w:t>,</w:t>
      </w:r>
      <w:proofErr w:type="gramEnd"/>
      <w:r>
        <w:t xml:space="preserve"> необходимо отметить, что отдельные виды оборотных активов имеют различную скорость оборота. </w:t>
      </w: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ab/>
        <w:t>Косвенным параметром деловой активности организации служит соотношение дебиторской и кредиторской задолженности организации.</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b/>
          <w:sz w:val="24"/>
          <w:szCs w:val="24"/>
          <w:u w:val="single"/>
        </w:rPr>
        <w:t>2.1. Оборачиваемость дебиторской задолженности</w:t>
      </w:r>
    </w:p>
    <w:p w:rsidR="000D732C" w:rsidRDefault="000D732C" w:rsidP="000D732C">
      <w:pPr>
        <w:pStyle w:val="HTML"/>
        <w:jc w:val="both"/>
        <w:rPr>
          <w:rFonts w:ascii="Times New Roman" w:hAnsi="Times New Roman" w:cs="Times New Roman"/>
          <w:sz w:val="24"/>
          <w:szCs w:val="24"/>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Оборачиваемость дебиторской задолженности отражает скорость погашения дебиторами своей задолженности перед организацией. Качество управления дебиторской задолженностью играет значительную роль в экономической деятельности организации.</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Показатель рассчитывается по следующей формуле, в днях:</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center"/>
        <w:rPr>
          <w:rFonts w:ascii="Times New Roman" w:hAnsi="Times New Roman" w:cs="Times New Roman"/>
          <w:sz w:val="24"/>
          <w:szCs w:val="24"/>
        </w:rPr>
      </w:pPr>
      <w:r>
        <w:rPr>
          <w:rFonts w:ascii="Times New Roman" w:hAnsi="Times New Roman" w:cs="Times New Roman"/>
          <w:sz w:val="24"/>
          <w:szCs w:val="24"/>
        </w:rPr>
        <w:t xml:space="preserve">Оборачиваемость дебиторской  задолженности = Средняя величина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зад-</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 в рамках периода, за который формируется выручка *</w:t>
      </w:r>
      <w:r>
        <w:rPr>
          <w:rFonts w:ascii="Times New Roman" w:hAnsi="Times New Roman" w:cs="Times New Roman"/>
          <w:sz w:val="24"/>
          <w:szCs w:val="24"/>
          <w:lang w:val="en-US"/>
        </w:rPr>
        <w:t>N</w:t>
      </w:r>
      <w:r>
        <w:rPr>
          <w:rFonts w:ascii="Times New Roman" w:hAnsi="Times New Roman" w:cs="Times New Roman"/>
          <w:sz w:val="24"/>
          <w:szCs w:val="24"/>
        </w:rPr>
        <w:t xml:space="preserve"> / Выручка за период;</w:t>
      </w:r>
    </w:p>
    <w:p w:rsidR="000D732C" w:rsidRDefault="000D732C" w:rsidP="000D732C">
      <w:pPr>
        <w:pStyle w:val="HTML"/>
        <w:jc w:val="center"/>
        <w:rPr>
          <w:rFonts w:ascii="Times New Roman" w:hAnsi="Times New Roman" w:cs="Times New Roman"/>
          <w:sz w:val="24"/>
          <w:szCs w:val="24"/>
        </w:rPr>
      </w:pPr>
    </w:p>
    <w:p w:rsidR="000D732C" w:rsidRDefault="000D732C" w:rsidP="000D732C">
      <w:pPr>
        <w:pStyle w:val="HTML"/>
        <w:jc w:val="center"/>
        <w:rPr>
          <w:rFonts w:ascii="Times New Roman" w:hAnsi="Times New Roman" w:cs="Times New Roman"/>
          <w:sz w:val="24"/>
          <w:szCs w:val="24"/>
        </w:rPr>
      </w:pPr>
      <w:r>
        <w:rPr>
          <w:rFonts w:ascii="Times New Roman" w:hAnsi="Times New Roman" w:cs="Times New Roman"/>
          <w:sz w:val="24"/>
          <w:szCs w:val="24"/>
        </w:rPr>
        <w:t xml:space="preserve">Оборачиваемость д. з. = (стр. 1230  на начало анализируемого периода + стр. 1230  на конец анализируемого периода)/2  * </w:t>
      </w:r>
      <w:r>
        <w:rPr>
          <w:rFonts w:ascii="Times New Roman" w:hAnsi="Times New Roman" w:cs="Times New Roman"/>
          <w:sz w:val="24"/>
          <w:szCs w:val="24"/>
          <w:lang w:val="en-US"/>
        </w:rPr>
        <w:t>N</w:t>
      </w:r>
      <w:r>
        <w:rPr>
          <w:rFonts w:ascii="Times New Roman" w:hAnsi="Times New Roman" w:cs="Times New Roman"/>
          <w:sz w:val="24"/>
          <w:szCs w:val="24"/>
        </w:rPr>
        <w:t xml:space="preserve"> / стр. 2110;</w:t>
      </w: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 xml:space="preserve">где, </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 xml:space="preserve"> – </w:t>
      </w:r>
      <w:proofErr w:type="gramStart"/>
      <w:r>
        <w:rPr>
          <w:rFonts w:ascii="Times New Roman" w:hAnsi="Times New Roman" w:cs="Times New Roman"/>
          <w:sz w:val="24"/>
          <w:szCs w:val="24"/>
        </w:rPr>
        <w:t>количество</w:t>
      </w:r>
      <w:proofErr w:type="gramEnd"/>
      <w:r>
        <w:rPr>
          <w:rFonts w:ascii="Times New Roman" w:hAnsi="Times New Roman" w:cs="Times New Roman"/>
          <w:sz w:val="24"/>
          <w:szCs w:val="24"/>
        </w:rPr>
        <w:t xml:space="preserve"> дней в периоде (90, 180, 270, 365).</w:t>
      </w:r>
    </w:p>
    <w:p w:rsidR="000D732C" w:rsidRDefault="000D732C" w:rsidP="000D732C">
      <w:pPr>
        <w:pStyle w:val="HTML"/>
        <w:jc w:val="both"/>
        <w:rPr>
          <w:rFonts w:ascii="Times New Roman" w:hAnsi="Times New Roman" w:cs="Times New Roman"/>
          <w:b/>
          <w:sz w:val="24"/>
          <w:szCs w:val="24"/>
          <w:u w:val="single"/>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Нормативным значением для данного показателя принимается значение:</w:t>
      </w:r>
    </w:p>
    <w:p w:rsidR="000D732C" w:rsidRDefault="000D732C" w:rsidP="000D732C">
      <w:pPr>
        <w:pStyle w:val="HTML"/>
        <w:jc w:val="both"/>
        <w:rPr>
          <w:rFonts w:ascii="Times New Roman" w:hAnsi="Times New Roman" w:cs="Times New Roman"/>
          <w:sz w:val="24"/>
          <w:szCs w:val="24"/>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для организаций, осуществляющих деятельность в сфере услуг и прочих видов деятельности: до 30 дней – высокая.</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0D732C" w:rsidRDefault="000D732C" w:rsidP="000D732C">
      <w:pPr>
        <w:pStyle w:val="HTML"/>
        <w:jc w:val="both"/>
        <w:rPr>
          <w:rFonts w:ascii="Times New Roman" w:hAnsi="Times New Roman" w:cs="Times New Roman"/>
          <w:b/>
          <w:sz w:val="24"/>
          <w:szCs w:val="24"/>
          <w:u w:val="single"/>
        </w:rPr>
      </w:pPr>
      <w:r>
        <w:rPr>
          <w:rFonts w:ascii="Times New Roman" w:hAnsi="Times New Roman" w:cs="Times New Roman"/>
          <w:b/>
          <w:sz w:val="24"/>
          <w:szCs w:val="24"/>
          <w:u w:val="single"/>
        </w:rPr>
        <w:t>2.2. Оборачиваемость кредиторской задолженности</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ab/>
        <w:t xml:space="preserve">Оборачиваемость кредиторской задолженности отражает скорость погашения организацией своей задолженности перед контрагентами. </w:t>
      </w: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Показатель рассчитывается по следующей формуле, в днях:</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center"/>
        <w:rPr>
          <w:rFonts w:ascii="Times New Roman" w:hAnsi="Times New Roman" w:cs="Times New Roman"/>
          <w:sz w:val="24"/>
          <w:szCs w:val="24"/>
        </w:rPr>
      </w:pPr>
      <w:r>
        <w:rPr>
          <w:rFonts w:ascii="Times New Roman" w:hAnsi="Times New Roman" w:cs="Times New Roman"/>
          <w:sz w:val="24"/>
          <w:szCs w:val="24"/>
        </w:rPr>
        <w:t xml:space="preserve">Оборачиваемость Кредиторской задолженности = Средняя величина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зад-</w:t>
      </w:r>
      <w:proofErr w:type="spellStart"/>
      <w:r>
        <w:rPr>
          <w:rFonts w:ascii="Times New Roman" w:hAnsi="Times New Roman" w:cs="Times New Roman"/>
          <w:sz w:val="24"/>
          <w:szCs w:val="24"/>
        </w:rPr>
        <w:t>ть</w:t>
      </w:r>
      <w:proofErr w:type="spellEnd"/>
      <w:r>
        <w:rPr>
          <w:rFonts w:ascii="Times New Roman" w:hAnsi="Times New Roman" w:cs="Times New Roman"/>
          <w:sz w:val="24"/>
          <w:szCs w:val="24"/>
        </w:rPr>
        <w:t xml:space="preserve"> в рамках периода, за который формируется выручка *</w:t>
      </w:r>
      <w:r>
        <w:rPr>
          <w:rFonts w:ascii="Times New Roman" w:hAnsi="Times New Roman" w:cs="Times New Roman"/>
          <w:sz w:val="24"/>
          <w:szCs w:val="24"/>
          <w:lang w:val="en-US"/>
        </w:rPr>
        <w:t>N</w:t>
      </w:r>
      <w:r>
        <w:rPr>
          <w:rFonts w:ascii="Times New Roman" w:hAnsi="Times New Roman" w:cs="Times New Roman"/>
          <w:sz w:val="24"/>
          <w:szCs w:val="24"/>
        </w:rPr>
        <w:t xml:space="preserve"> / Выручка за период;</w:t>
      </w:r>
    </w:p>
    <w:p w:rsidR="000D732C" w:rsidRDefault="000D732C" w:rsidP="000D732C">
      <w:pPr>
        <w:pStyle w:val="HTML"/>
        <w:jc w:val="center"/>
        <w:rPr>
          <w:rFonts w:ascii="Times New Roman" w:hAnsi="Times New Roman" w:cs="Times New Roman"/>
          <w:sz w:val="24"/>
          <w:szCs w:val="24"/>
        </w:rPr>
      </w:pPr>
    </w:p>
    <w:p w:rsidR="000D732C" w:rsidRDefault="000D732C" w:rsidP="000D732C">
      <w:pPr>
        <w:pStyle w:val="HTML"/>
        <w:jc w:val="center"/>
        <w:rPr>
          <w:rFonts w:ascii="Times New Roman" w:hAnsi="Times New Roman" w:cs="Times New Roman"/>
          <w:sz w:val="24"/>
          <w:szCs w:val="24"/>
        </w:rPr>
      </w:pPr>
      <w:r>
        <w:rPr>
          <w:rFonts w:ascii="Times New Roman" w:hAnsi="Times New Roman" w:cs="Times New Roman"/>
          <w:sz w:val="24"/>
          <w:szCs w:val="24"/>
        </w:rPr>
        <w:t xml:space="preserve">Оборачиваемость </w:t>
      </w:r>
      <w:proofErr w:type="spellStart"/>
      <w:r>
        <w:rPr>
          <w:rFonts w:ascii="Times New Roman" w:hAnsi="Times New Roman" w:cs="Times New Roman"/>
          <w:sz w:val="24"/>
          <w:szCs w:val="24"/>
        </w:rPr>
        <w:t>к.з</w:t>
      </w:r>
      <w:proofErr w:type="spellEnd"/>
      <w:r>
        <w:rPr>
          <w:rFonts w:ascii="Times New Roman" w:hAnsi="Times New Roman" w:cs="Times New Roman"/>
          <w:sz w:val="24"/>
          <w:szCs w:val="24"/>
        </w:rPr>
        <w:t>. = (стр. 1520</w:t>
      </w:r>
      <w:r>
        <w:rPr>
          <w:rFonts w:hint="eastAsia"/>
          <w:sz w:val="24"/>
          <w:szCs w:val="24"/>
        </w:rPr>
        <w:t xml:space="preserve"> </w:t>
      </w:r>
      <w:r>
        <w:rPr>
          <w:rFonts w:ascii="Times New Roman" w:hAnsi="Times New Roman" w:cs="Times New Roman"/>
          <w:sz w:val="24"/>
          <w:szCs w:val="24"/>
        </w:rPr>
        <w:t xml:space="preserve">на начало анализируемого периода + стр. 1520  на конец анализируемого периода)/2  * </w:t>
      </w:r>
      <w:r>
        <w:rPr>
          <w:rFonts w:ascii="Times New Roman" w:hAnsi="Times New Roman" w:cs="Times New Roman"/>
          <w:sz w:val="24"/>
          <w:szCs w:val="24"/>
          <w:lang w:val="en-US"/>
        </w:rPr>
        <w:t>N</w:t>
      </w:r>
      <w:r>
        <w:rPr>
          <w:rFonts w:ascii="Times New Roman" w:hAnsi="Times New Roman" w:cs="Times New Roman"/>
          <w:sz w:val="24"/>
          <w:szCs w:val="24"/>
        </w:rPr>
        <w:t xml:space="preserve"> / стр. 2110;</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 xml:space="preserve"> – </w:t>
      </w:r>
      <w:proofErr w:type="gramStart"/>
      <w:r>
        <w:rPr>
          <w:rFonts w:ascii="Times New Roman" w:hAnsi="Times New Roman" w:cs="Times New Roman"/>
          <w:sz w:val="24"/>
          <w:szCs w:val="24"/>
        </w:rPr>
        <w:t>количество</w:t>
      </w:r>
      <w:proofErr w:type="gramEnd"/>
      <w:r>
        <w:rPr>
          <w:rFonts w:ascii="Times New Roman" w:hAnsi="Times New Roman" w:cs="Times New Roman"/>
          <w:sz w:val="24"/>
          <w:szCs w:val="24"/>
        </w:rPr>
        <w:t xml:space="preserve"> дней в периоде (90, 180, 270, 365).</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Нормативным значением для данного показателя принимается значение:</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t>для организаций, осуществляющих деятельность в сфере услуг и прочих видов деятельности: до 30 дней – высокая.</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b/>
          <w:sz w:val="24"/>
          <w:szCs w:val="24"/>
          <w:u w:val="single"/>
        </w:rPr>
      </w:pPr>
      <w:r>
        <w:rPr>
          <w:rFonts w:ascii="Times New Roman" w:hAnsi="Times New Roman" w:cs="Times New Roman"/>
          <w:b/>
          <w:sz w:val="24"/>
          <w:szCs w:val="24"/>
          <w:u w:val="single"/>
        </w:rPr>
        <w:t>2.3. Оборачиваемость запасов</w:t>
      </w:r>
    </w:p>
    <w:p w:rsidR="000D732C" w:rsidRDefault="000D732C" w:rsidP="000D732C">
      <w:pPr>
        <w:pStyle w:val="HTML"/>
        <w:jc w:val="both"/>
      </w:pPr>
    </w:p>
    <w:p w:rsidR="000D732C" w:rsidRDefault="000D732C" w:rsidP="000D732C">
      <w:pPr>
        <w:pStyle w:val="HTML"/>
        <w:jc w:val="both"/>
        <w:rPr>
          <w:rFonts w:ascii="Times New Roman" w:hAnsi="Times New Roman" w:cs="Times New Roman" w:hint="eastAsia"/>
          <w:b/>
          <w:sz w:val="24"/>
          <w:szCs w:val="24"/>
          <w:u w:val="single"/>
        </w:rPr>
      </w:pPr>
      <w:r>
        <w:rPr>
          <w:rFonts w:hint="eastAsia"/>
        </w:rPr>
        <w:tab/>
      </w:r>
      <w:r>
        <w:rPr>
          <w:rFonts w:ascii="Times New Roman" w:hAnsi="Times New Roman" w:cs="Times New Roman"/>
          <w:sz w:val="24"/>
          <w:szCs w:val="24"/>
        </w:rPr>
        <w:t>Показатель оборачиваемости запасов показывает, сколько раз за анализируемый период организация использовала средний имеющийся остаток запасов. Показатель характеризует качество запасов и эффективность управления ими, позволяет выявить остатки неиспользуемых, устаревших, то есть неликвидных запасов. Кроме того, показатель имеет существенное значение, так как связан с тем, что прибыль возникает при каждом "обороте" запасов (реализации,  использовании в производстве, операционном цикле). Вместе с тем необходимо учитывать, что недостаточное количество запасов у организации парализует его нормальную, эффективную деятельность.</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Показатель рассчитывается по формуле, в днях:</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center"/>
        <w:rPr>
          <w:rFonts w:ascii="Times New Roman" w:hAnsi="Times New Roman" w:cs="Times New Roman"/>
          <w:sz w:val="24"/>
          <w:szCs w:val="24"/>
        </w:rPr>
      </w:pPr>
      <w:r>
        <w:rPr>
          <w:rFonts w:ascii="Times New Roman" w:hAnsi="Times New Roman" w:cs="Times New Roman"/>
          <w:sz w:val="24"/>
          <w:szCs w:val="24"/>
        </w:rPr>
        <w:t xml:space="preserve">Оборачиваемость запасов = Средняя величина Запасов в рамках периода, за который формируется выручка * </w:t>
      </w:r>
      <w:r>
        <w:rPr>
          <w:rFonts w:ascii="Times New Roman" w:hAnsi="Times New Roman" w:cs="Times New Roman"/>
          <w:sz w:val="24"/>
          <w:szCs w:val="24"/>
          <w:lang w:val="en-US"/>
        </w:rPr>
        <w:t>N</w:t>
      </w:r>
      <w:r>
        <w:rPr>
          <w:rFonts w:ascii="Times New Roman" w:hAnsi="Times New Roman" w:cs="Times New Roman"/>
          <w:sz w:val="24"/>
          <w:szCs w:val="24"/>
        </w:rPr>
        <w:t xml:space="preserve"> / Себестоимость;</w:t>
      </w:r>
    </w:p>
    <w:p w:rsidR="000D732C" w:rsidRDefault="000D732C" w:rsidP="000D732C">
      <w:pPr>
        <w:pStyle w:val="HTML"/>
        <w:jc w:val="center"/>
        <w:rPr>
          <w:rFonts w:ascii="Times New Roman" w:hAnsi="Times New Roman" w:cs="Times New Roman"/>
          <w:sz w:val="24"/>
          <w:szCs w:val="24"/>
        </w:rPr>
      </w:pPr>
    </w:p>
    <w:p w:rsidR="000D732C" w:rsidRDefault="000D732C" w:rsidP="000D732C">
      <w:pPr>
        <w:pStyle w:val="HTML"/>
        <w:jc w:val="center"/>
        <w:rPr>
          <w:rFonts w:ascii="Times New Roman" w:hAnsi="Times New Roman" w:cs="Times New Roman"/>
          <w:sz w:val="24"/>
          <w:szCs w:val="24"/>
        </w:rPr>
      </w:pPr>
      <w:r>
        <w:rPr>
          <w:rFonts w:ascii="Times New Roman" w:hAnsi="Times New Roman" w:cs="Times New Roman"/>
          <w:sz w:val="24"/>
          <w:szCs w:val="24"/>
        </w:rPr>
        <w:t>Оборачиваемость запасов =  (стр. 1210</w:t>
      </w:r>
      <w:r>
        <w:rPr>
          <w:rFonts w:hint="eastAsia"/>
          <w:sz w:val="24"/>
          <w:szCs w:val="24"/>
        </w:rPr>
        <w:t xml:space="preserve"> </w:t>
      </w:r>
      <w:r>
        <w:rPr>
          <w:rFonts w:ascii="Times New Roman" w:hAnsi="Times New Roman" w:cs="Times New Roman"/>
          <w:sz w:val="24"/>
          <w:szCs w:val="24"/>
        </w:rPr>
        <w:t xml:space="preserve">на начало анализируемого периода + стр. 1210  на конец анализируемого периода)/2  * </w:t>
      </w:r>
      <w:r>
        <w:rPr>
          <w:rFonts w:ascii="Times New Roman" w:hAnsi="Times New Roman" w:cs="Times New Roman"/>
          <w:sz w:val="24"/>
          <w:szCs w:val="24"/>
          <w:lang w:val="en-US"/>
        </w:rPr>
        <w:t>N</w:t>
      </w:r>
      <w:r>
        <w:rPr>
          <w:rFonts w:ascii="Times New Roman" w:hAnsi="Times New Roman" w:cs="Times New Roman"/>
          <w:sz w:val="24"/>
          <w:szCs w:val="24"/>
        </w:rPr>
        <w:t xml:space="preserve"> / стр. 2120;</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Нормативным значением для данного показателя принимается значение:</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t>для организаций, осуществляющих деятельность в сфере услуг и прочих видов деятельности: до 30 дней – высокая.</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b/>
          <w:sz w:val="24"/>
          <w:szCs w:val="24"/>
          <w:u w:val="single"/>
        </w:rPr>
      </w:pPr>
      <w:r>
        <w:rPr>
          <w:rFonts w:ascii="Times New Roman" w:hAnsi="Times New Roman" w:cs="Times New Roman"/>
          <w:b/>
          <w:sz w:val="24"/>
          <w:szCs w:val="24"/>
          <w:u w:val="single"/>
        </w:rPr>
        <w:t>2.4. Оборачиваемость активов</w:t>
      </w:r>
    </w:p>
    <w:p w:rsidR="000D732C" w:rsidRDefault="000D732C" w:rsidP="000D732C">
      <w:pPr>
        <w:pStyle w:val="HTML"/>
        <w:jc w:val="both"/>
      </w:pPr>
      <w:r>
        <w:rPr>
          <w:rFonts w:hint="eastAsia"/>
        </w:rPr>
        <w:tab/>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int="eastAsia"/>
        </w:rPr>
      </w:pPr>
      <w:r>
        <w:tab/>
        <w:t xml:space="preserve">Оборачиваемость активов - финансовый показатель интенсивности использования организацией всей совокупности имеющихся активов. </w:t>
      </w: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Рассчитывается по формуле, в днях:</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center"/>
        <w:rPr>
          <w:rFonts w:ascii="Times New Roman" w:hAnsi="Times New Roman" w:cs="Times New Roman"/>
          <w:sz w:val="24"/>
          <w:szCs w:val="24"/>
        </w:rPr>
      </w:pPr>
      <w:r>
        <w:rPr>
          <w:rFonts w:ascii="Times New Roman" w:hAnsi="Times New Roman" w:cs="Times New Roman"/>
          <w:sz w:val="24"/>
          <w:szCs w:val="24"/>
        </w:rPr>
        <w:t xml:space="preserve">Оборачиваемость активов = Средняя величина Активов в рамках периода, за который формируется выручка * </w:t>
      </w:r>
      <w:r>
        <w:rPr>
          <w:rFonts w:ascii="Times New Roman" w:hAnsi="Times New Roman" w:cs="Times New Roman"/>
          <w:sz w:val="24"/>
          <w:szCs w:val="24"/>
          <w:lang w:val="en-US"/>
        </w:rPr>
        <w:t>N</w:t>
      </w:r>
      <w:r>
        <w:rPr>
          <w:rFonts w:ascii="Times New Roman" w:hAnsi="Times New Roman" w:cs="Times New Roman"/>
          <w:sz w:val="24"/>
          <w:szCs w:val="24"/>
        </w:rPr>
        <w:t xml:space="preserve"> / Выручка;</w:t>
      </w:r>
    </w:p>
    <w:p w:rsidR="000D732C" w:rsidRDefault="000D732C" w:rsidP="000D732C">
      <w:pPr>
        <w:pStyle w:val="HTML"/>
        <w:jc w:val="center"/>
        <w:rPr>
          <w:rFonts w:ascii="Times New Roman" w:hAnsi="Times New Roman" w:cs="Times New Roman"/>
          <w:sz w:val="24"/>
          <w:szCs w:val="24"/>
        </w:rPr>
      </w:pPr>
    </w:p>
    <w:p w:rsidR="000D732C" w:rsidRDefault="000D732C" w:rsidP="000D732C">
      <w:pPr>
        <w:pStyle w:val="HTML"/>
        <w:jc w:val="center"/>
        <w:rPr>
          <w:rFonts w:ascii="Times New Roman" w:hAnsi="Times New Roman" w:cs="Times New Roman"/>
          <w:sz w:val="24"/>
          <w:szCs w:val="24"/>
        </w:rPr>
      </w:pPr>
      <w:r>
        <w:rPr>
          <w:rFonts w:ascii="Times New Roman" w:hAnsi="Times New Roman" w:cs="Times New Roman"/>
          <w:sz w:val="24"/>
          <w:szCs w:val="24"/>
        </w:rPr>
        <w:t>Оборачиваемость активов =  (стр.1600 на начало анализируемого периода + стр. 1600 на конец анализируемого периода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w:t>
      </w:r>
      <w:r>
        <w:rPr>
          <w:rFonts w:ascii="Times New Roman" w:hAnsi="Times New Roman" w:cs="Times New Roman"/>
          <w:sz w:val="24"/>
          <w:szCs w:val="24"/>
          <w:lang w:val="en-US"/>
        </w:rPr>
        <w:t>N</w:t>
      </w:r>
      <w:r>
        <w:rPr>
          <w:rFonts w:ascii="Times New Roman" w:hAnsi="Times New Roman" w:cs="Times New Roman"/>
          <w:sz w:val="24"/>
          <w:szCs w:val="24"/>
        </w:rPr>
        <w:t>/стр.2110;</w:t>
      </w:r>
    </w:p>
    <w:p w:rsidR="000D732C" w:rsidRDefault="000D732C" w:rsidP="000D732C">
      <w:pPr>
        <w:pStyle w:val="HTML"/>
        <w:rPr>
          <w:rFonts w:ascii="Times New Roman" w:hAnsi="Times New Roman" w:cs="Times New Roman"/>
          <w:sz w:val="24"/>
          <w:szCs w:val="24"/>
        </w:rPr>
      </w:pP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rPr>
        <w:t>где,</w:t>
      </w: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 xml:space="preserve"> – </w:t>
      </w:r>
      <w:proofErr w:type="gramStart"/>
      <w:r>
        <w:rPr>
          <w:rFonts w:ascii="Times New Roman" w:hAnsi="Times New Roman" w:cs="Times New Roman"/>
          <w:sz w:val="24"/>
          <w:szCs w:val="24"/>
        </w:rPr>
        <w:t>количество</w:t>
      </w:r>
      <w:proofErr w:type="gramEnd"/>
      <w:r>
        <w:rPr>
          <w:rFonts w:ascii="Times New Roman" w:hAnsi="Times New Roman" w:cs="Times New Roman"/>
          <w:sz w:val="24"/>
          <w:szCs w:val="24"/>
        </w:rPr>
        <w:t xml:space="preserve"> дней в периоде.</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Нормативным значением для данного показателя принимается значение:</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t>для организаций, осуществляющих деятельность в сфере услуг и прочих видов деятельности: от 40 до 60 дней – высокая.</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b/>
          <w:sz w:val="24"/>
          <w:szCs w:val="24"/>
          <w:u w:val="single"/>
        </w:rPr>
      </w:pPr>
      <w:r>
        <w:rPr>
          <w:rFonts w:ascii="Times New Roman" w:hAnsi="Times New Roman" w:cs="Times New Roman"/>
          <w:b/>
          <w:sz w:val="24"/>
          <w:szCs w:val="24"/>
          <w:u w:val="single"/>
        </w:rPr>
        <w:t>2.5. Оборачиваемость оборотных средств</w:t>
      </w:r>
    </w:p>
    <w:p w:rsidR="000D732C" w:rsidRDefault="000D732C" w:rsidP="000D732C">
      <w:pPr>
        <w:pStyle w:val="HTML"/>
        <w:jc w:val="both"/>
        <w:rPr>
          <w:rFonts w:ascii="Times New Roman" w:hAnsi="Times New Roman" w:cs="Times New Roman"/>
          <w:sz w:val="24"/>
          <w:szCs w:val="24"/>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Оборачиваемость активов - показывает, сколько раз за анализируемый период организация использовала средний имеющийся остаток оборотных средств. Согласно бухгалтерскому балансу, оборотные активы включают: запасы, денежные средства, краткосрочные финансовые вложения и краткосрочную дебиторскую задолженность, включая НДС по приобретенным ценностям. Показатель характеризует долю оборотных средств в общих активах организации и эффективность управления ими. В то же время, на него накладываются отраслевые особенности производственного цикла.</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Рассчитывается по формуле, в днях:</w:t>
      </w:r>
    </w:p>
    <w:p w:rsidR="000D732C" w:rsidRDefault="000D732C" w:rsidP="000D732C">
      <w:pPr>
        <w:pStyle w:val="HTML"/>
        <w:jc w:val="both"/>
        <w:rPr>
          <w:rFonts w:ascii="Times New Roman" w:hAnsi="Times New Roman" w:cs="Times New Roman"/>
          <w:sz w:val="24"/>
          <w:szCs w:val="24"/>
        </w:rPr>
      </w:pPr>
    </w:p>
    <w:p w:rsidR="000D732C" w:rsidRDefault="000D732C" w:rsidP="000D732C">
      <w:pPr>
        <w:pStyle w:val="HTML"/>
        <w:jc w:val="center"/>
        <w:rPr>
          <w:rFonts w:ascii="Times New Roman" w:hAnsi="Times New Roman" w:cs="Times New Roman"/>
          <w:sz w:val="24"/>
          <w:szCs w:val="24"/>
        </w:rPr>
      </w:pPr>
      <w:r>
        <w:rPr>
          <w:rFonts w:ascii="Times New Roman" w:hAnsi="Times New Roman" w:cs="Times New Roman"/>
          <w:sz w:val="24"/>
          <w:szCs w:val="24"/>
        </w:rPr>
        <w:t>Оборачиваемость оборотных средств = Выручка / Оборотные активы</w:t>
      </w:r>
    </w:p>
    <w:p w:rsidR="000D732C" w:rsidRDefault="000D732C" w:rsidP="000D732C">
      <w:pPr>
        <w:pStyle w:val="HTML"/>
        <w:jc w:val="center"/>
        <w:rPr>
          <w:rFonts w:ascii="Times New Roman" w:hAnsi="Times New Roman" w:cs="Times New Roman"/>
          <w:sz w:val="24"/>
          <w:szCs w:val="24"/>
        </w:rPr>
      </w:pPr>
    </w:p>
    <w:p w:rsidR="000D732C" w:rsidRDefault="000D732C" w:rsidP="000D732C">
      <w:pPr>
        <w:pStyle w:val="HTML"/>
        <w:jc w:val="center"/>
        <w:rPr>
          <w:rFonts w:ascii="Times New Roman" w:hAnsi="Times New Roman" w:cs="Times New Roman"/>
          <w:sz w:val="24"/>
          <w:szCs w:val="24"/>
        </w:rPr>
      </w:pPr>
      <w:r>
        <w:rPr>
          <w:rFonts w:ascii="Times New Roman" w:hAnsi="Times New Roman" w:cs="Times New Roman"/>
          <w:sz w:val="24"/>
          <w:szCs w:val="24"/>
        </w:rPr>
        <w:t>Оборачиваемость активов =  (стр.1200 на начало анализируемого периода + стр. 1200 на конец анализируемого периода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w:t>
      </w:r>
      <w:r>
        <w:rPr>
          <w:rFonts w:ascii="Times New Roman" w:hAnsi="Times New Roman" w:cs="Times New Roman"/>
          <w:sz w:val="24"/>
          <w:szCs w:val="24"/>
          <w:lang w:val="en-US"/>
        </w:rPr>
        <w:t>N</w:t>
      </w:r>
      <w:r>
        <w:rPr>
          <w:rFonts w:ascii="Times New Roman" w:hAnsi="Times New Roman" w:cs="Times New Roman"/>
          <w:sz w:val="24"/>
          <w:szCs w:val="24"/>
        </w:rPr>
        <w:t>/стр.2110;</w:t>
      </w:r>
    </w:p>
    <w:p w:rsidR="000D732C" w:rsidRDefault="000D732C" w:rsidP="000D732C">
      <w:pPr>
        <w:pStyle w:val="HTML"/>
        <w:rPr>
          <w:rFonts w:ascii="Times New Roman" w:hAnsi="Times New Roman" w:cs="Times New Roman"/>
          <w:sz w:val="24"/>
          <w:szCs w:val="24"/>
        </w:rPr>
      </w:pP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rPr>
        <w:t>где,</w:t>
      </w: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lang w:val="en-US"/>
        </w:rPr>
        <w:lastRenderedPageBreak/>
        <w:t>N</w:t>
      </w:r>
      <w:r>
        <w:rPr>
          <w:rFonts w:ascii="Times New Roman" w:hAnsi="Times New Roman" w:cs="Times New Roman"/>
          <w:sz w:val="24"/>
          <w:szCs w:val="24"/>
        </w:rPr>
        <w:t xml:space="preserve"> – </w:t>
      </w:r>
      <w:proofErr w:type="gramStart"/>
      <w:r>
        <w:rPr>
          <w:rFonts w:ascii="Times New Roman" w:hAnsi="Times New Roman" w:cs="Times New Roman"/>
          <w:sz w:val="24"/>
          <w:szCs w:val="24"/>
        </w:rPr>
        <w:t>количество</w:t>
      </w:r>
      <w:proofErr w:type="gramEnd"/>
      <w:r>
        <w:rPr>
          <w:rFonts w:ascii="Times New Roman" w:hAnsi="Times New Roman" w:cs="Times New Roman"/>
          <w:sz w:val="24"/>
          <w:szCs w:val="24"/>
        </w:rPr>
        <w:t xml:space="preserve"> дней в периоде.</w:t>
      </w:r>
    </w:p>
    <w:p w:rsidR="000D732C" w:rsidRDefault="000D732C" w:rsidP="000D732C">
      <w:pPr>
        <w:pStyle w:val="HTML"/>
        <w:jc w:val="both"/>
        <w:rPr>
          <w:rFonts w:ascii="Times New Roman" w:hAnsi="Times New Roman" w:cs="Times New Roman"/>
          <w:sz w:val="24"/>
          <w:szCs w:val="24"/>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D732C" w:rsidRDefault="000D732C" w:rsidP="000D732C">
      <w:pPr>
        <w:pStyle w:val="HTML"/>
        <w:jc w:val="both"/>
        <w:rPr>
          <w:rFonts w:ascii="Times New Roman" w:hAnsi="Times New Roman" w:cs="Times New Roman"/>
          <w:b/>
          <w:sz w:val="24"/>
          <w:szCs w:val="24"/>
          <w:u w:val="single"/>
        </w:rPr>
      </w:pPr>
      <w:r>
        <w:rPr>
          <w:rFonts w:ascii="Times New Roman" w:hAnsi="Times New Roman" w:cs="Times New Roman"/>
          <w:b/>
          <w:sz w:val="24"/>
          <w:szCs w:val="24"/>
          <w:u w:val="single"/>
        </w:rPr>
        <w:t>2.6. Оборачиваемость собственного капитала</w:t>
      </w:r>
    </w:p>
    <w:p w:rsidR="000D732C" w:rsidRDefault="000D732C" w:rsidP="000D732C">
      <w:pPr>
        <w:pStyle w:val="HTML"/>
        <w:jc w:val="both"/>
        <w:rPr>
          <w:rFonts w:ascii="Times New Roman" w:hAnsi="Times New Roman" w:cs="Times New Roman"/>
          <w:b/>
          <w:sz w:val="24"/>
          <w:szCs w:val="24"/>
          <w:u w:val="single"/>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Под ОСК подразумевают темп преодоления полного цикла, совершаемый капитальным фондом за выбранный период. Операционный цикл — это отрезок времени между приобретением необходимого материала и получением вознаграждения от продаж продукции.</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D732C" w:rsidRDefault="000D732C" w:rsidP="000D732C">
      <w:pPr>
        <w:pStyle w:val="HTML"/>
        <w:jc w:val="both"/>
        <w:rPr>
          <w:rFonts w:ascii="Times New Roman" w:hAnsi="Times New Roman" w:cs="Times New Roman"/>
          <w:sz w:val="24"/>
          <w:szCs w:val="24"/>
        </w:rPr>
      </w:pPr>
      <w:r>
        <w:rPr>
          <w:rFonts w:ascii="Times New Roman" w:hAnsi="Times New Roman" w:cs="Times New Roman"/>
          <w:sz w:val="24"/>
          <w:szCs w:val="24"/>
        </w:rPr>
        <w:t>Рассчитывается по формуле, в днях:</w:t>
      </w:r>
    </w:p>
    <w:p w:rsidR="000D732C" w:rsidRDefault="000D732C" w:rsidP="000D732C">
      <w:pPr>
        <w:pStyle w:val="HTML"/>
        <w:jc w:val="both"/>
        <w:rPr>
          <w:rFonts w:ascii="Times New Roman" w:hAnsi="Times New Roman" w:cs="Times New Roman"/>
          <w:b/>
          <w:sz w:val="24"/>
          <w:szCs w:val="24"/>
          <w:u w:val="single"/>
        </w:rPr>
      </w:pPr>
    </w:p>
    <w:p w:rsidR="000D732C" w:rsidRDefault="000D732C" w:rsidP="000D732C">
      <w:pPr>
        <w:pStyle w:val="HTML"/>
        <w:jc w:val="center"/>
        <w:rPr>
          <w:rFonts w:ascii="Times New Roman" w:hAnsi="Times New Roman" w:cs="Times New Roman"/>
          <w:sz w:val="24"/>
          <w:szCs w:val="24"/>
        </w:rPr>
      </w:pPr>
      <w:r>
        <w:rPr>
          <w:rFonts w:ascii="Times New Roman" w:hAnsi="Times New Roman" w:cs="Times New Roman"/>
          <w:sz w:val="24"/>
          <w:szCs w:val="24"/>
        </w:rPr>
        <w:t>Оборачиваемость оборотных средств = Выручка / Собственный капитал</w:t>
      </w:r>
    </w:p>
    <w:p w:rsidR="000D732C" w:rsidRDefault="000D732C" w:rsidP="000D732C">
      <w:pPr>
        <w:pStyle w:val="HTML"/>
        <w:jc w:val="center"/>
        <w:rPr>
          <w:rFonts w:ascii="Times New Roman" w:hAnsi="Times New Roman" w:cs="Times New Roman"/>
          <w:sz w:val="24"/>
          <w:szCs w:val="24"/>
        </w:rPr>
      </w:pPr>
    </w:p>
    <w:p w:rsidR="000D732C" w:rsidRDefault="000D732C" w:rsidP="000D732C">
      <w:pPr>
        <w:pStyle w:val="HTML"/>
        <w:jc w:val="center"/>
        <w:rPr>
          <w:rFonts w:ascii="Times New Roman" w:hAnsi="Times New Roman" w:cs="Times New Roman"/>
          <w:sz w:val="24"/>
          <w:szCs w:val="24"/>
        </w:rPr>
      </w:pPr>
    </w:p>
    <w:p w:rsidR="000D732C" w:rsidRDefault="000D732C" w:rsidP="000D732C">
      <w:pPr>
        <w:pStyle w:val="HTML"/>
        <w:jc w:val="center"/>
        <w:rPr>
          <w:rFonts w:ascii="Times New Roman" w:hAnsi="Times New Roman" w:cs="Times New Roman"/>
          <w:sz w:val="24"/>
          <w:szCs w:val="24"/>
        </w:rPr>
      </w:pPr>
      <w:r>
        <w:rPr>
          <w:rFonts w:ascii="Times New Roman" w:hAnsi="Times New Roman" w:cs="Times New Roman"/>
          <w:sz w:val="24"/>
          <w:szCs w:val="24"/>
        </w:rPr>
        <w:t>Оборачиваемость оборотных средств = (стр.1300 на начало анализируемого периода + стр. 1300 на конец анализируемого периода)/2*</w:t>
      </w:r>
      <w:r>
        <w:rPr>
          <w:rFonts w:ascii="Times New Roman" w:hAnsi="Times New Roman" w:cs="Times New Roman"/>
          <w:sz w:val="24"/>
          <w:szCs w:val="24"/>
          <w:lang w:val="en-US"/>
        </w:rPr>
        <w:t>N</w:t>
      </w:r>
      <w:r>
        <w:rPr>
          <w:rFonts w:ascii="Times New Roman" w:hAnsi="Times New Roman" w:cs="Times New Roman"/>
          <w:sz w:val="24"/>
          <w:szCs w:val="24"/>
        </w:rPr>
        <w:t>/стр.2110;</w:t>
      </w:r>
    </w:p>
    <w:p w:rsidR="000D732C" w:rsidRDefault="000D732C" w:rsidP="000D732C">
      <w:pPr>
        <w:pStyle w:val="HTML"/>
        <w:jc w:val="center"/>
        <w:rPr>
          <w:rFonts w:ascii="Times New Roman" w:hAnsi="Times New Roman" w:cs="Times New Roman"/>
          <w:sz w:val="24"/>
          <w:szCs w:val="24"/>
        </w:rPr>
      </w:pP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rPr>
        <w:t>где,</w:t>
      </w: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 xml:space="preserve"> – </w:t>
      </w:r>
      <w:proofErr w:type="gramStart"/>
      <w:r>
        <w:rPr>
          <w:rFonts w:ascii="Times New Roman" w:hAnsi="Times New Roman" w:cs="Times New Roman"/>
          <w:sz w:val="24"/>
          <w:szCs w:val="24"/>
        </w:rPr>
        <w:t>количество</w:t>
      </w:r>
      <w:proofErr w:type="gramEnd"/>
      <w:r>
        <w:rPr>
          <w:rFonts w:ascii="Times New Roman" w:hAnsi="Times New Roman" w:cs="Times New Roman"/>
          <w:sz w:val="24"/>
          <w:szCs w:val="24"/>
        </w:rPr>
        <w:t xml:space="preserve"> дней в периоде.</w:t>
      </w:r>
    </w:p>
    <w:p w:rsidR="000D732C" w:rsidRDefault="000D732C" w:rsidP="000D732C">
      <w:pPr>
        <w:pStyle w:val="HTML"/>
        <w:rPr>
          <w:rFonts w:ascii="Times New Roman" w:hAnsi="Times New Roman" w:cs="Times New Roman"/>
          <w:sz w:val="24"/>
          <w:szCs w:val="24"/>
        </w:rPr>
      </w:pP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b/>
        </w:rPr>
      </w:pPr>
      <w:r>
        <w:rPr>
          <w:b/>
        </w:rPr>
        <w:t>3. Коэффициенты, позволяющие оценить эффективность экономической деятельности организации</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iCs/>
        </w:rPr>
      </w:pPr>
    </w:p>
    <w:p w:rsidR="000D732C" w:rsidRDefault="000D732C" w:rsidP="000D732C">
      <w:pPr>
        <w:pStyle w:val="HTML"/>
        <w:jc w:val="both"/>
        <w:rPr>
          <w:rFonts w:ascii="Times New Roman" w:hAnsi="Times New Roman" w:cs="Times New Roman"/>
          <w:b/>
          <w:sz w:val="24"/>
          <w:szCs w:val="24"/>
          <w:u w:val="single"/>
        </w:rPr>
      </w:pPr>
      <w:r>
        <w:rPr>
          <w:rFonts w:ascii="Times New Roman" w:hAnsi="Times New Roman" w:cs="Times New Roman"/>
          <w:b/>
          <w:sz w:val="24"/>
          <w:szCs w:val="24"/>
          <w:u w:val="single"/>
        </w:rPr>
        <w:t>3.1. Рентабельность производственных фондов</w:t>
      </w:r>
    </w:p>
    <w:p w:rsidR="000D732C" w:rsidRDefault="000D732C" w:rsidP="000D732C">
      <w:pPr>
        <w:pStyle w:val="HTML"/>
        <w:jc w:val="both"/>
        <w:rPr>
          <w:rFonts w:ascii="Times New Roman" w:hAnsi="Times New Roman" w:cs="Times New Roman"/>
          <w:b/>
          <w:sz w:val="24"/>
          <w:szCs w:val="24"/>
          <w:u w:val="single"/>
        </w:rPr>
      </w:pP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rPr>
        <w:t>Коэффициент рентабельности производственных фондов представляет собой коэффициент доходности, который измеряет чистую прибыль, произведенную производственными активами за период. Рассчитывается по формуле</w:t>
      </w:r>
      <w:proofErr w:type="gramStart"/>
      <w:r>
        <w:rPr>
          <w:rFonts w:ascii="Times New Roman" w:hAnsi="Times New Roman" w:cs="Times New Roman"/>
          <w:sz w:val="24"/>
          <w:szCs w:val="24"/>
        </w:rPr>
        <w:t>, (%):</w:t>
      </w:r>
      <w:proofErr w:type="gramEnd"/>
    </w:p>
    <w:p w:rsidR="000D732C" w:rsidRDefault="000D732C" w:rsidP="000D732C">
      <w:pPr>
        <w:pStyle w:val="HTML"/>
        <w:rPr>
          <w:rFonts w:ascii="Times New Roman" w:hAnsi="Times New Roman" w:cs="Times New Roman"/>
          <w:sz w:val="24"/>
          <w:szCs w:val="24"/>
        </w:rPr>
      </w:pPr>
    </w:p>
    <w:p w:rsidR="000D732C" w:rsidRDefault="000D732C" w:rsidP="000D732C">
      <w:pPr>
        <w:pStyle w:val="HTML"/>
        <w:jc w:val="center"/>
        <w:rPr>
          <w:rFonts w:ascii="Times New Roman" w:hAnsi="Times New Roman" w:cs="Times New Roman"/>
          <w:sz w:val="24"/>
          <w:szCs w:val="24"/>
        </w:rPr>
      </w:pPr>
      <w:proofErr w:type="spellStart"/>
      <w:r>
        <w:rPr>
          <w:rFonts w:ascii="Times New Roman" w:hAnsi="Times New Roman" w:cs="Times New Roman"/>
          <w:sz w:val="24"/>
          <w:szCs w:val="24"/>
        </w:rPr>
        <w:t>Рпф</w:t>
      </w:r>
      <w:proofErr w:type="spellEnd"/>
      <w:r>
        <w:rPr>
          <w:rFonts w:ascii="Times New Roman" w:hAnsi="Times New Roman" w:cs="Times New Roman"/>
          <w:sz w:val="24"/>
          <w:szCs w:val="24"/>
        </w:rPr>
        <w:t xml:space="preserve">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среднегодовая величина основных средств + среднегодовая величина запасов* 100%;</w:t>
      </w:r>
    </w:p>
    <w:p w:rsidR="000D732C" w:rsidRDefault="000D732C" w:rsidP="000D732C">
      <w:pPr>
        <w:pStyle w:val="HTML"/>
        <w:rPr>
          <w:rFonts w:ascii="Times New Roman" w:hAnsi="Times New Roman" w:cs="Times New Roman"/>
          <w:sz w:val="24"/>
          <w:szCs w:val="24"/>
        </w:rPr>
      </w:pPr>
    </w:p>
    <w:p w:rsidR="000D732C" w:rsidRDefault="000D732C" w:rsidP="000D732C">
      <w:pPr>
        <w:pStyle w:val="HTML"/>
        <w:jc w:val="center"/>
        <w:rPr>
          <w:rFonts w:ascii="Times New Roman" w:hAnsi="Times New Roman" w:cs="Times New Roman"/>
          <w:sz w:val="24"/>
          <w:szCs w:val="24"/>
        </w:rPr>
      </w:pPr>
      <w:proofErr w:type="spellStart"/>
      <w:r>
        <w:rPr>
          <w:rFonts w:ascii="Times New Roman" w:hAnsi="Times New Roman" w:cs="Times New Roman"/>
          <w:sz w:val="24"/>
          <w:szCs w:val="24"/>
        </w:rPr>
        <w:t>Рпф</w:t>
      </w:r>
      <w:proofErr w:type="spellEnd"/>
      <w:r>
        <w:rPr>
          <w:rFonts w:ascii="Times New Roman" w:hAnsi="Times New Roman" w:cs="Times New Roman"/>
          <w:sz w:val="24"/>
          <w:szCs w:val="24"/>
        </w:rPr>
        <w:t xml:space="preserve"> = стр. 2300/ ((стр.1150 на начало анализируемого периода + стр. 1150 на конец анализируемого периода) + (стр. 1210 на начало анализируемого периода + стр. 1210 на конец анализируемого периода)) /2) *100%;</w:t>
      </w:r>
    </w:p>
    <w:p w:rsidR="000D732C" w:rsidRDefault="000D732C" w:rsidP="000D732C">
      <w:pPr>
        <w:pStyle w:val="HTML"/>
        <w:jc w:val="center"/>
        <w:rPr>
          <w:rFonts w:ascii="Times New Roman" w:hAnsi="Times New Roman" w:cs="Times New Roman"/>
          <w:sz w:val="24"/>
          <w:szCs w:val="24"/>
        </w:rPr>
      </w:pPr>
    </w:p>
    <w:p w:rsidR="000D732C" w:rsidRDefault="000D732C" w:rsidP="000D732C">
      <w:pPr>
        <w:pStyle w:val="HTML"/>
        <w:rPr>
          <w:rFonts w:ascii="Times New Roman" w:hAnsi="Times New Roman" w:cs="Times New Roman"/>
          <w:b/>
          <w:sz w:val="24"/>
          <w:szCs w:val="24"/>
          <w:u w:val="single"/>
        </w:rPr>
      </w:pPr>
      <w:r>
        <w:rPr>
          <w:rFonts w:ascii="Times New Roman" w:hAnsi="Times New Roman" w:cs="Times New Roman"/>
          <w:b/>
          <w:sz w:val="24"/>
          <w:szCs w:val="24"/>
          <w:u w:val="single"/>
        </w:rPr>
        <w:t>3.2. Рентабельность продаж (величина прибыли от продаж в каждом рубле выручки)</w:t>
      </w:r>
    </w:p>
    <w:p w:rsidR="000D732C" w:rsidRDefault="000D732C" w:rsidP="000D732C">
      <w:pPr>
        <w:pStyle w:val="HTML"/>
        <w:rPr>
          <w:rFonts w:ascii="Times New Roman" w:hAnsi="Times New Roman" w:cs="Times New Roman"/>
          <w:b/>
          <w:sz w:val="24"/>
          <w:szCs w:val="24"/>
          <w:u w:val="single"/>
        </w:rPr>
      </w:pP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rPr>
        <w:t>Рентабельность продаж - показатель, необходимый для эффективного развития предприятия и своевременного выявления недостатков в работе сотрудников, ответственных за организацию продаж. Рассчитывается по формуле</w:t>
      </w:r>
      <w:proofErr w:type="gramStart"/>
      <w:r>
        <w:rPr>
          <w:rFonts w:ascii="Times New Roman" w:hAnsi="Times New Roman" w:cs="Times New Roman"/>
          <w:sz w:val="24"/>
          <w:szCs w:val="24"/>
        </w:rPr>
        <w:t>, (%):</w:t>
      </w:r>
      <w:proofErr w:type="gramEnd"/>
    </w:p>
    <w:p w:rsidR="000D732C" w:rsidRDefault="000D732C" w:rsidP="000D732C">
      <w:pPr>
        <w:pStyle w:val="HTML"/>
        <w:rPr>
          <w:rFonts w:ascii="Times New Roman" w:hAnsi="Times New Roman" w:cs="Times New Roman"/>
          <w:b/>
          <w:sz w:val="24"/>
          <w:szCs w:val="24"/>
          <w:u w:val="single"/>
        </w:rPr>
      </w:pPr>
    </w:p>
    <w:p w:rsidR="000D732C" w:rsidRDefault="000D732C" w:rsidP="000D732C">
      <w:pPr>
        <w:pStyle w:val="HTML"/>
        <w:rPr>
          <w:rFonts w:ascii="Times New Roman" w:hAnsi="Times New Roman" w:cs="Times New Roman"/>
          <w:b/>
          <w:sz w:val="24"/>
          <w:szCs w:val="24"/>
          <w:u w:val="single"/>
        </w:rPr>
      </w:pPr>
    </w:p>
    <w:p w:rsidR="000D732C" w:rsidRDefault="000D732C" w:rsidP="000D732C">
      <w:pPr>
        <w:pStyle w:val="HTML"/>
        <w:jc w:val="center"/>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 стр. 2200 / стр. 2110 * 100 %</w:t>
      </w:r>
    </w:p>
    <w:p w:rsidR="000D732C" w:rsidRDefault="000D732C" w:rsidP="000D732C">
      <w:pPr>
        <w:pStyle w:val="HTML"/>
        <w:jc w:val="center"/>
        <w:rPr>
          <w:rFonts w:ascii="Times New Roman" w:hAnsi="Times New Roman" w:cs="Times New Roman"/>
          <w:b/>
          <w:sz w:val="24"/>
          <w:szCs w:val="24"/>
          <w:u w:val="single"/>
        </w:rPr>
      </w:pP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rPr>
        <w:t>Средними можно назвать такие результаты:</w:t>
      </w: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rPr>
        <w:t>1-5% - низкая рентабельность, над увеличением которой надо работать;</w:t>
      </w: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rPr>
        <w:t>5-20% - средний показатель, при котором предприятие может стабильно работать;</w:t>
      </w: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rPr>
        <w:t>20-30% - высокая результативность работы.</w:t>
      </w:r>
    </w:p>
    <w:p w:rsidR="000D732C" w:rsidRDefault="000D732C" w:rsidP="000D732C">
      <w:pPr>
        <w:pStyle w:val="HTML"/>
        <w:rPr>
          <w:rFonts w:ascii="Times New Roman" w:hAnsi="Times New Roman" w:cs="Times New Roman"/>
          <w:sz w:val="24"/>
          <w:szCs w:val="24"/>
        </w:rPr>
      </w:pPr>
    </w:p>
    <w:p w:rsidR="000D732C" w:rsidRDefault="000D732C" w:rsidP="000D732C">
      <w:pPr>
        <w:pStyle w:val="HTML"/>
        <w:rPr>
          <w:rFonts w:ascii="Times New Roman" w:hAnsi="Times New Roman" w:cs="Times New Roman"/>
          <w:b/>
          <w:sz w:val="24"/>
          <w:szCs w:val="24"/>
          <w:u w:val="single"/>
        </w:rPr>
      </w:pPr>
      <w:r>
        <w:rPr>
          <w:rFonts w:ascii="Times New Roman" w:hAnsi="Times New Roman" w:cs="Times New Roman"/>
          <w:b/>
          <w:sz w:val="24"/>
          <w:szCs w:val="24"/>
          <w:u w:val="single"/>
        </w:rPr>
        <w:t>3.3. Рентабельность продаж по EBIT (величина прибыли от продаж до уплаты процентов и налогов в каждом рубле выручки)</w:t>
      </w:r>
    </w:p>
    <w:p w:rsidR="000D732C" w:rsidRDefault="000D732C" w:rsidP="000D732C">
      <w:pPr>
        <w:pStyle w:val="HTML"/>
        <w:rPr>
          <w:rFonts w:ascii="Times New Roman" w:hAnsi="Times New Roman" w:cs="Times New Roman"/>
          <w:b/>
          <w:sz w:val="24"/>
          <w:szCs w:val="24"/>
          <w:u w:val="single"/>
        </w:rPr>
      </w:pP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rPr>
        <w:t xml:space="preserve">Рентабельность продаж по EBIT (англ. </w:t>
      </w:r>
      <w:proofErr w:type="spellStart"/>
      <w:r>
        <w:rPr>
          <w:rFonts w:ascii="Times New Roman" w:hAnsi="Times New Roman" w:cs="Times New Roman"/>
          <w:sz w:val="24"/>
          <w:szCs w:val="24"/>
        </w:rPr>
        <w:t>Earnings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before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interests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taxes</w:t>
      </w:r>
      <w:proofErr w:type="spellEnd"/>
      <w:r>
        <w:rPr>
          <w:rFonts w:ascii="Times New Roman" w:hAnsi="Times New Roman" w:cs="Times New Roman"/>
          <w:sz w:val="24"/>
          <w:szCs w:val="24"/>
        </w:rPr>
        <w:t>) - величина прибыли от продаж до уплаты процентов и налогов в каждом рубле выручки.</w:t>
      </w: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rPr>
        <w:t>Этот коэффициент является промежуточным между валовой и чистой прибылью. Вычитание процентов и налогов позволяет сравнить различные предприятия без учета доли заемного капитала и налоговых ставок. Рассчитывается по формуле</w:t>
      </w:r>
      <w:proofErr w:type="gramStart"/>
      <w:r>
        <w:rPr>
          <w:rFonts w:ascii="Times New Roman" w:hAnsi="Times New Roman" w:cs="Times New Roman"/>
          <w:sz w:val="24"/>
          <w:szCs w:val="24"/>
        </w:rPr>
        <w:t>, (%):</w:t>
      </w:r>
      <w:proofErr w:type="gramEnd"/>
    </w:p>
    <w:p w:rsidR="000D732C" w:rsidRDefault="000D732C" w:rsidP="000D732C">
      <w:pPr>
        <w:pStyle w:val="HTML"/>
        <w:rPr>
          <w:rFonts w:ascii="Times New Roman" w:hAnsi="Times New Roman" w:cs="Times New Roman"/>
          <w:sz w:val="24"/>
          <w:szCs w:val="24"/>
        </w:rPr>
      </w:pPr>
    </w:p>
    <w:p w:rsidR="000D732C" w:rsidRDefault="000D732C" w:rsidP="000D732C">
      <w:pPr>
        <w:pStyle w:val="HTML"/>
        <w:jc w:val="center"/>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xml:space="preserve"> по </w:t>
      </w:r>
      <w:r>
        <w:rPr>
          <w:rFonts w:ascii="Times New Roman" w:hAnsi="Times New Roman" w:cs="Times New Roman"/>
          <w:sz w:val="24"/>
          <w:szCs w:val="24"/>
          <w:lang w:val="en-US"/>
        </w:rPr>
        <w:t>EBIT</w:t>
      </w:r>
      <w:r>
        <w:rPr>
          <w:rFonts w:ascii="Times New Roman" w:hAnsi="Times New Roman" w:cs="Times New Roman"/>
          <w:sz w:val="24"/>
          <w:szCs w:val="24"/>
        </w:rPr>
        <w:t xml:space="preserve"> = стр. 2200 + стр. 2350 / стр. 2110 * 100 %</w:t>
      </w:r>
    </w:p>
    <w:p w:rsidR="000D732C" w:rsidRDefault="000D732C" w:rsidP="000D732C">
      <w:pPr>
        <w:pStyle w:val="HTML"/>
        <w:rPr>
          <w:rFonts w:ascii="Times New Roman" w:hAnsi="Times New Roman" w:cs="Times New Roman"/>
          <w:sz w:val="24"/>
          <w:szCs w:val="24"/>
        </w:rPr>
      </w:pPr>
    </w:p>
    <w:p w:rsidR="000D732C" w:rsidRDefault="000D732C" w:rsidP="000D732C">
      <w:pPr>
        <w:pStyle w:val="HTML"/>
        <w:rPr>
          <w:rFonts w:ascii="Times New Roman" w:hAnsi="Times New Roman" w:cs="Times New Roman"/>
          <w:sz w:val="24"/>
          <w:szCs w:val="24"/>
        </w:rPr>
      </w:pP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rPr>
        <w:t>Нормальным считается положительное значение EBIT. Однако нужно учитывать, что после вычитания процентов и налогов может получиться убыток.</w:t>
      </w:r>
    </w:p>
    <w:p w:rsidR="000D732C" w:rsidRDefault="000D732C" w:rsidP="000D732C">
      <w:pPr>
        <w:pStyle w:val="HTML"/>
        <w:rPr>
          <w:rFonts w:ascii="Times New Roman" w:hAnsi="Times New Roman" w:cs="Times New Roman"/>
          <w:sz w:val="24"/>
          <w:szCs w:val="24"/>
        </w:rPr>
      </w:pPr>
    </w:p>
    <w:p w:rsidR="000D732C" w:rsidRDefault="000D732C" w:rsidP="000D732C">
      <w:pPr>
        <w:pStyle w:val="HTML"/>
        <w:rPr>
          <w:rFonts w:ascii="Times New Roman" w:hAnsi="Times New Roman" w:cs="Times New Roman"/>
          <w:b/>
          <w:sz w:val="24"/>
          <w:szCs w:val="24"/>
          <w:u w:val="single"/>
        </w:rPr>
      </w:pPr>
      <w:r>
        <w:rPr>
          <w:rFonts w:ascii="Times New Roman" w:hAnsi="Times New Roman" w:cs="Times New Roman"/>
          <w:b/>
          <w:sz w:val="24"/>
          <w:szCs w:val="24"/>
          <w:u w:val="single"/>
        </w:rPr>
        <w:t>3.4. Прибыль от продаж на рубль, вложенный в производство и реализацию продукции (работ, услуг)</w:t>
      </w:r>
    </w:p>
    <w:p w:rsidR="000D732C" w:rsidRDefault="000D732C" w:rsidP="000D732C">
      <w:pPr>
        <w:pStyle w:val="HTML"/>
        <w:rPr>
          <w:rFonts w:ascii="Times New Roman" w:hAnsi="Times New Roman" w:cs="Times New Roman"/>
          <w:sz w:val="24"/>
          <w:szCs w:val="24"/>
        </w:rPr>
      </w:pP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rPr>
        <w:t>Прибыль от продаж на рубль, вложенный в производство и реализацию продукции (работ, услуг) рассчитывается по формуле: стр. 2200 / стр. 2120</w:t>
      </w:r>
    </w:p>
    <w:p w:rsidR="000D732C" w:rsidRDefault="000D732C" w:rsidP="000D732C">
      <w:pPr>
        <w:pStyle w:val="HTML"/>
        <w:rPr>
          <w:rFonts w:ascii="Times New Roman" w:hAnsi="Times New Roman" w:cs="Times New Roman"/>
          <w:sz w:val="24"/>
          <w:szCs w:val="24"/>
        </w:rPr>
      </w:pPr>
    </w:p>
    <w:p w:rsidR="000D732C" w:rsidRDefault="000D732C" w:rsidP="000D732C">
      <w:pPr>
        <w:pStyle w:val="HTML"/>
        <w:rPr>
          <w:rFonts w:ascii="Times New Roman" w:hAnsi="Times New Roman" w:cs="Times New Roman"/>
          <w:b/>
          <w:sz w:val="24"/>
          <w:szCs w:val="24"/>
          <w:u w:val="single"/>
        </w:rPr>
      </w:pPr>
      <w:r>
        <w:rPr>
          <w:rFonts w:ascii="Times New Roman" w:hAnsi="Times New Roman" w:cs="Times New Roman"/>
          <w:b/>
          <w:sz w:val="24"/>
          <w:szCs w:val="24"/>
          <w:u w:val="single"/>
        </w:rPr>
        <w:t>3.5. Коэффициент покрытия процентов к уплате (ICR)</w:t>
      </w:r>
    </w:p>
    <w:p w:rsidR="000D732C" w:rsidRDefault="000D732C" w:rsidP="000D732C">
      <w:pPr>
        <w:pStyle w:val="HTML"/>
        <w:rPr>
          <w:rFonts w:ascii="Times New Roman" w:hAnsi="Times New Roman" w:cs="Times New Roman"/>
          <w:sz w:val="24"/>
          <w:szCs w:val="24"/>
        </w:rPr>
      </w:pP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rPr>
        <w:t xml:space="preserve">Коэффициент покрытия процентов (коэффициент обслуживания долга) (англ. </w:t>
      </w:r>
      <w:proofErr w:type="spellStart"/>
      <w:r>
        <w:rPr>
          <w:rFonts w:ascii="Times New Roman" w:hAnsi="Times New Roman" w:cs="Times New Roman"/>
          <w:sz w:val="24"/>
          <w:szCs w:val="24"/>
        </w:rPr>
        <w:t>interest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coverage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ratio</w:t>
      </w:r>
      <w:proofErr w:type="spellEnd"/>
      <w:r>
        <w:rPr>
          <w:rFonts w:ascii="Times New Roman" w:hAnsi="Times New Roman" w:cs="Times New Roman"/>
          <w:sz w:val="24"/>
          <w:szCs w:val="24"/>
        </w:rPr>
        <w:t>, ICR) - характеризует способность организации обслуживать свои долговые обязательства. Рассчитывается по формуле</w:t>
      </w:r>
      <w:proofErr w:type="gramStart"/>
      <w:r>
        <w:rPr>
          <w:rFonts w:ascii="Times New Roman" w:hAnsi="Times New Roman" w:cs="Times New Roman"/>
          <w:sz w:val="24"/>
          <w:szCs w:val="24"/>
        </w:rPr>
        <w:t>, (%):</w:t>
      </w:r>
      <w:proofErr w:type="gramEnd"/>
    </w:p>
    <w:p w:rsidR="000D732C" w:rsidRDefault="000D732C" w:rsidP="000D732C">
      <w:pPr>
        <w:pStyle w:val="HTML"/>
        <w:rPr>
          <w:rFonts w:ascii="Times New Roman" w:hAnsi="Times New Roman" w:cs="Times New Roman"/>
          <w:sz w:val="24"/>
          <w:szCs w:val="24"/>
        </w:rPr>
      </w:pP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rPr>
        <w:t>Коэффициент покрытия процентов = стр. 2200 + стр. 2350 / стр. 2330</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iCs/>
        </w:rPr>
      </w:pPr>
    </w:p>
    <w:p w:rsidR="000D732C" w:rsidRDefault="000D732C" w:rsidP="000D732C">
      <w:pPr>
        <w:pStyle w:val="HTML"/>
        <w:jc w:val="center"/>
        <w:outlineLvl w:val="0"/>
        <w:rPr>
          <w:rFonts w:ascii="Times New Roman" w:hAnsi="Times New Roman" w:cs="Times New Roman"/>
          <w:b/>
          <w:sz w:val="24"/>
          <w:szCs w:val="24"/>
        </w:rPr>
      </w:pPr>
      <w:bookmarkStart w:id="61" w:name="_Toc435803498"/>
      <w:bookmarkStart w:id="62" w:name="_Toc435803471"/>
      <w:bookmarkStart w:id="63" w:name="_Toc421527210"/>
      <w:r>
        <w:rPr>
          <w:rFonts w:ascii="Times New Roman" w:hAnsi="Times New Roman" w:cs="Times New Roman"/>
          <w:b/>
          <w:sz w:val="24"/>
          <w:szCs w:val="24"/>
        </w:rPr>
        <w:t xml:space="preserve">4. </w:t>
      </w:r>
      <w:bookmarkEnd w:id="61"/>
      <w:bookmarkEnd w:id="62"/>
      <w:bookmarkEnd w:id="63"/>
      <w:r>
        <w:rPr>
          <w:rFonts w:ascii="Times New Roman" w:hAnsi="Times New Roman" w:cs="Times New Roman"/>
          <w:b/>
          <w:sz w:val="24"/>
          <w:szCs w:val="24"/>
        </w:rPr>
        <w:t>Анализ финансовой устойчивости по величине излишка (недостатка) собственных оборотных средств</w:t>
      </w:r>
    </w:p>
    <w:p w:rsidR="000D732C" w:rsidRDefault="000D732C" w:rsidP="000D732C">
      <w:pPr>
        <w:pStyle w:val="HTML"/>
        <w:jc w:val="center"/>
        <w:outlineLvl w:val="0"/>
        <w:rPr>
          <w:rFonts w:ascii="Times New Roman" w:hAnsi="Times New Roman" w:cs="Times New Roman"/>
          <w:b/>
          <w:sz w:val="24"/>
          <w:szCs w:val="24"/>
        </w:rPr>
      </w:pPr>
    </w:p>
    <w:p w:rsidR="000D732C" w:rsidRDefault="000D732C" w:rsidP="000D732C">
      <w:pPr>
        <w:pStyle w:val="HTML"/>
        <w:outlineLvl w:val="0"/>
        <w:rPr>
          <w:rFonts w:ascii="Times New Roman" w:hAnsi="Times New Roman" w:cs="Times New Roman"/>
          <w:sz w:val="24"/>
          <w:szCs w:val="24"/>
        </w:rPr>
      </w:pPr>
      <w:r>
        <w:rPr>
          <w:rFonts w:ascii="Times New Roman" w:hAnsi="Times New Roman" w:cs="Times New Roman"/>
          <w:sz w:val="24"/>
          <w:szCs w:val="24"/>
        </w:rPr>
        <w:t>Собственные оборотные средства представляют собой рабочий капитал, включающий сумму превышения оборотных активов предприятия над его краткосрочными обязательствами. Этот показатель использует при оценке возможностей компаний в расчетах по краткосрочным обязательствам в случае реализации всех своих оборотных активов.</w:t>
      </w:r>
    </w:p>
    <w:p w:rsidR="000D732C" w:rsidRDefault="000D732C" w:rsidP="000D732C">
      <w:pPr>
        <w:pStyle w:val="HTML"/>
        <w:outlineLvl w:val="0"/>
        <w:rPr>
          <w:rFonts w:ascii="Times New Roman" w:hAnsi="Times New Roman" w:cs="Times New Roman"/>
          <w:sz w:val="24"/>
          <w:szCs w:val="24"/>
        </w:rPr>
      </w:pPr>
    </w:p>
    <w:p w:rsidR="000D732C" w:rsidRDefault="000D732C" w:rsidP="000D732C">
      <w:pPr>
        <w:pStyle w:val="HTML"/>
        <w:jc w:val="both"/>
        <w:rPr>
          <w:rFonts w:ascii="Times New Roman" w:hAnsi="Times New Roman" w:cs="Times New Roman"/>
          <w:b/>
          <w:sz w:val="24"/>
          <w:szCs w:val="24"/>
          <w:u w:val="single"/>
        </w:rPr>
      </w:pPr>
      <w:r>
        <w:rPr>
          <w:rFonts w:ascii="Times New Roman" w:hAnsi="Times New Roman" w:cs="Times New Roman"/>
          <w:b/>
          <w:sz w:val="24"/>
          <w:szCs w:val="24"/>
          <w:u w:val="single"/>
        </w:rPr>
        <w:t>4.1. СОС</w:t>
      </w:r>
      <w:proofErr w:type="gramStart"/>
      <w:r>
        <w:rPr>
          <w:rFonts w:ascii="Times New Roman" w:hAnsi="Times New Roman" w:cs="Times New Roman"/>
          <w:b/>
          <w:sz w:val="24"/>
          <w:szCs w:val="24"/>
          <w:u w:val="single"/>
        </w:rPr>
        <w:t>1</w:t>
      </w:r>
      <w:proofErr w:type="gramEnd"/>
      <w:r>
        <w:rPr>
          <w:rFonts w:ascii="Times New Roman" w:hAnsi="Times New Roman" w:cs="Times New Roman"/>
          <w:b/>
          <w:sz w:val="24"/>
          <w:szCs w:val="24"/>
          <w:u w:val="single"/>
        </w:rPr>
        <w:t xml:space="preserve"> (рассчитан без учета долгосрочных и краткосрочных пассивов)</w:t>
      </w:r>
    </w:p>
    <w:p w:rsidR="000D732C" w:rsidRDefault="000D732C" w:rsidP="000D732C">
      <w:pPr>
        <w:pStyle w:val="HTML"/>
        <w:jc w:val="both"/>
        <w:rPr>
          <w:rFonts w:ascii="Times New Roman" w:hAnsi="Times New Roman" w:cs="Times New Roman"/>
          <w:b/>
          <w:sz w:val="24"/>
          <w:szCs w:val="24"/>
          <w:u w:val="single"/>
        </w:rPr>
      </w:pPr>
    </w:p>
    <w:p w:rsidR="000D732C" w:rsidRDefault="000D732C" w:rsidP="000D732C">
      <w:pPr>
        <w:pStyle w:val="HTML"/>
        <w:jc w:val="center"/>
        <w:rPr>
          <w:rFonts w:ascii="Times New Roman" w:hAnsi="Times New Roman" w:cs="Times New Roman"/>
          <w:sz w:val="24"/>
          <w:szCs w:val="24"/>
        </w:rPr>
      </w:pPr>
      <w:r>
        <w:rPr>
          <w:rFonts w:ascii="Times New Roman" w:hAnsi="Times New Roman" w:cs="Times New Roman"/>
          <w:sz w:val="24"/>
          <w:szCs w:val="24"/>
        </w:rPr>
        <w:t>СОС</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стр. 1300 - стр. 1100 – стр. 1210</w:t>
      </w:r>
    </w:p>
    <w:p w:rsidR="000D732C" w:rsidRDefault="000D732C" w:rsidP="000D732C">
      <w:pPr>
        <w:pStyle w:val="HTML"/>
        <w:jc w:val="center"/>
        <w:rPr>
          <w:rFonts w:ascii="Times New Roman" w:hAnsi="Times New Roman" w:cs="Times New Roman"/>
          <w:b/>
          <w:sz w:val="24"/>
          <w:szCs w:val="24"/>
          <w:u w:val="single"/>
        </w:rPr>
      </w:pPr>
    </w:p>
    <w:p w:rsidR="000D732C" w:rsidRDefault="000D732C" w:rsidP="000D732C">
      <w:pPr>
        <w:pStyle w:val="HTML"/>
        <w:jc w:val="both"/>
        <w:rPr>
          <w:rFonts w:ascii="Times New Roman" w:hAnsi="Times New Roman" w:cs="Times New Roman"/>
          <w:b/>
          <w:sz w:val="24"/>
          <w:szCs w:val="24"/>
          <w:u w:val="single"/>
        </w:rPr>
      </w:pPr>
      <w:r>
        <w:rPr>
          <w:rFonts w:ascii="Times New Roman" w:hAnsi="Times New Roman" w:cs="Times New Roman"/>
          <w:b/>
          <w:sz w:val="24"/>
          <w:szCs w:val="24"/>
          <w:u w:val="single"/>
        </w:rPr>
        <w:t>4.2. СОС</w:t>
      </w:r>
      <w:proofErr w:type="gramStart"/>
      <w:r>
        <w:rPr>
          <w:rFonts w:ascii="Times New Roman" w:hAnsi="Times New Roman" w:cs="Times New Roman"/>
          <w:b/>
          <w:sz w:val="24"/>
          <w:szCs w:val="24"/>
          <w:u w:val="single"/>
        </w:rPr>
        <w:t>2</w:t>
      </w:r>
      <w:proofErr w:type="gramEnd"/>
      <w:r>
        <w:rPr>
          <w:rFonts w:ascii="Times New Roman" w:hAnsi="Times New Roman" w:cs="Times New Roman"/>
          <w:b/>
          <w:sz w:val="24"/>
          <w:szCs w:val="24"/>
          <w:u w:val="single"/>
        </w:rPr>
        <w:t xml:space="preserve"> (рассчитан с учетом долгосрочных пассивов; фактически равен чистому оборотному капиталу, </w:t>
      </w:r>
      <w:proofErr w:type="spellStart"/>
      <w:r>
        <w:rPr>
          <w:rFonts w:ascii="Times New Roman" w:hAnsi="Times New Roman" w:cs="Times New Roman"/>
          <w:b/>
          <w:sz w:val="24"/>
          <w:szCs w:val="24"/>
          <w:u w:val="single"/>
        </w:rPr>
        <w:t>Net</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Working</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Capital</w:t>
      </w:r>
      <w:proofErr w:type="spellEnd"/>
      <w:r>
        <w:rPr>
          <w:rFonts w:ascii="Times New Roman" w:hAnsi="Times New Roman" w:cs="Times New Roman"/>
          <w:b/>
          <w:sz w:val="24"/>
          <w:szCs w:val="24"/>
          <w:u w:val="single"/>
        </w:rPr>
        <w:t>)</w:t>
      </w:r>
    </w:p>
    <w:p w:rsidR="000D732C" w:rsidRDefault="000D732C" w:rsidP="000D732C">
      <w:pPr>
        <w:pStyle w:val="HTML"/>
        <w:jc w:val="both"/>
        <w:rPr>
          <w:rFonts w:ascii="Times New Roman" w:hAnsi="Times New Roman" w:cs="Times New Roman"/>
          <w:b/>
          <w:sz w:val="24"/>
          <w:szCs w:val="24"/>
          <w:u w:val="single"/>
        </w:rPr>
      </w:pPr>
    </w:p>
    <w:p w:rsidR="000D732C" w:rsidRDefault="000D732C" w:rsidP="000D732C">
      <w:pPr>
        <w:pStyle w:val="HTML"/>
        <w:jc w:val="center"/>
        <w:rPr>
          <w:rFonts w:ascii="Times New Roman" w:hAnsi="Times New Roman" w:cs="Times New Roman"/>
          <w:sz w:val="24"/>
          <w:szCs w:val="24"/>
        </w:rPr>
      </w:pPr>
      <w:r>
        <w:rPr>
          <w:rFonts w:ascii="Times New Roman" w:hAnsi="Times New Roman" w:cs="Times New Roman"/>
          <w:sz w:val="24"/>
          <w:szCs w:val="24"/>
        </w:rPr>
        <w:t>СОС</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стр. 1300 - стр. 1100 + стр. 1400 - стр. 1210</w:t>
      </w:r>
    </w:p>
    <w:p w:rsidR="000D732C" w:rsidRDefault="000D732C" w:rsidP="000D732C">
      <w:pPr>
        <w:pStyle w:val="HTML"/>
        <w:jc w:val="center"/>
        <w:rPr>
          <w:rFonts w:ascii="Times New Roman" w:hAnsi="Times New Roman" w:cs="Times New Roman"/>
          <w:b/>
          <w:sz w:val="24"/>
          <w:szCs w:val="24"/>
          <w:u w:val="single"/>
        </w:rPr>
      </w:pPr>
    </w:p>
    <w:p w:rsidR="000D732C" w:rsidRDefault="000D732C" w:rsidP="000D732C">
      <w:pPr>
        <w:pStyle w:val="HTML"/>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4.3. СОС3 (рассчитанные с </w:t>
      </w:r>
      <w:proofErr w:type="gramStart"/>
      <w:r>
        <w:rPr>
          <w:rFonts w:ascii="Times New Roman" w:hAnsi="Times New Roman" w:cs="Times New Roman"/>
          <w:b/>
          <w:sz w:val="24"/>
          <w:szCs w:val="24"/>
          <w:u w:val="single"/>
        </w:rPr>
        <w:t>учетом</w:t>
      </w:r>
      <w:proofErr w:type="gramEnd"/>
      <w:r>
        <w:rPr>
          <w:rFonts w:ascii="Times New Roman" w:hAnsi="Times New Roman" w:cs="Times New Roman"/>
          <w:b/>
          <w:sz w:val="24"/>
          <w:szCs w:val="24"/>
          <w:u w:val="single"/>
        </w:rPr>
        <w:t xml:space="preserve"> как долгосрочных пассивов, так и краткосрочной задолженности по кредитам и займам)</w:t>
      </w:r>
    </w:p>
    <w:p w:rsidR="000D732C" w:rsidRDefault="000D732C" w:rsidP="000D732C">
      <w:pPr>
        <w:pStyle w:val="HTML"/>
        <w:jc w:val="both"/>
        <w:rPr>
          <w:rFonts w:ascii="Times New Roman" w:hAnsi="Times New Roman" w:cs="Times New Roman"/>
          <w:b/>
          <w:sz w:val="24"/>
          <w:szCs w:val="24"/>
          <w:u w:val="single"/>
        </w:rPr>
      </w:pPr>
    </w:p>
    <w:p w:rsidR="000D732C" w:rsidRDefault="000D732C" w:rsidP="000D732C">
      <w:pPr>
        <w:pStyle w:val="HTML"/>
        <w:jc w:val="center"/>
        <w:rPr>
          <w:rFonts w:ascii="Times New Roman" w:hAnsi="Times New Roman" w:cs="Times New Roman"/>
          <w:sz w:val="24"/>
          <w:szCs w:val="24"/>
        </w:rPr>
      </w:pPr>
      <w:r>
        <w:rPr>
          <w:rFonts w:ascii="Times New Roman" w:hAnsi="Times New Roman" w:cs="Times New Roman"/>
          <w:sz w:val="24"/>
          <w:szCs w:val="24"/>
        </w:rPr>
        <w:lastRenderedPageBreak/>
        <w:t>СОС3 = стр. 1300 - стр. 1100 + стр. 1410 + стр. 1520 – стр. 1210</w:t>
      </w:r>
    </w:p>
    <w:p w:rsidR="000D732C" w:rsidRDefault="000D732C" w:rsidP="000D732C">
      <w:pPr>
        <w:pStyle w:val="HTML"/>
        <w:jc w:val="center"/>
        <w:rPr>
          <w:rFonts w:ascii="Times New Roman" w:hAnsi="Times New Roman" w:cs="Times New Roman"/>
          <w:b/>
          <w:sz w:val="24"/>
          <w:szCs w:val="24"/>
          <w:u w:val="single"/>
        </w:rPr>
      </w:pPr>
    </w:p>
    <w:p w:rsidR="000D732C" w:rsidRDefault="000D732C" w:rsidP="000D732C">
      <w:pPr>
        <w:pStyle w:val="HTML"/>
        <w:jc w:val="center"/>
        <w:rPr>
          <w:rFonts w:ascii="Times New Roman" w:hAnsi="Times New Roman" w:cs="Times New Roman"/>
          <w:b/>
          <w:sz w:val="24"/>
          <w:szCs w:val="24"/>
          <w:u w:val="single"/>
        </w:rPr>
      </w:pPr>
    </w:p>
    <w:p w:rsidR="000D732C" w:rsidRDefault="000D732C" w:rsidP="000D732C">
      <w:pPr>
        <w:pStyle w:val="HTML"/>
        <w:jc w:val="center"/>
        <w:rPr>
          <w:rFonts w:ascii="Times New Roman" w:hAnsi="Times New Roman" w:cs="Times New Roman"/>
          <w:b/>
          <w:sz w:val="24"/>
          <w:szCs w:val="24"/>
          <w:u w:val="single"/>
        </w:rPr>
      </w:pPr>
      <w:r>
        <w:rPr>
          <w:rFonts w:ascii="Times New Roman" w:hAnsi="Times New Roman" w:cs="Times New Roman"/>
          <w:b/>
          <w:sz w:val="24"/>
          <w:szCs w:val="24"/>
          <w:u w:val="single"/>
        </w:rPr>
        <w:t>5.Анализ кредитоспособности заемщика по методике Сбербанка России</w:t>
      </w:r>
    </w:p>
    <w:p w:rsidR="000D732C" w:rsidRDefault="000D732C" w:rsidP="000D73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mp;quot" w:hAnsi="&amp;quot"/>
          <w:color w:val="auto"/>
        </w:rPr>
      </w:pPr>
      <w:r>
        <w:rPr>
          <w:rFonts w:ascii="&amp;quot" w:hAnsi="&amp;quot"/>
          <w:color w:val="auto"/>
        </w:rPr>
        <w:t xml:space="preserve">Методика разработана на основе </w:t>
      </w:r>
      <w:hyperlink r:id="rId11" w:tooltip="Регламент предоставления кредитов юридическим лицам Сбербанком России" w:history="1">
        <w:r>
          <w:rPr>
            <w:rStyle w:val="a7"/>
            <w:rFonts w:ascii="&amp;quot" w:hAnsi="&amp;quot"/>
            <w:color w:val="auto"/>
          </w:rPr>
          <w:t>приложения</w:t>
        </w:r>
      </w:hyperlink>
      <w:r>
        <w:rPr>
          <w:rFonts w:ascii="&amp;quot" w:hAnsi="&amp;quot"/>
          <w:color w:val="auto"/>
        </w:rPr>
        <w:t xml:space="preserve"> к Регламенту предоставления кредитов юридическим лицам Сбербанком России для определения финансового состояния и степени кредитоспособности заемщика.</w:t>
      </w:r>
    </w:p>
    <w:p w:rsidR="000D732C" w:rsidRDefault="000D732C" w:rsidP="000D73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mp;quot" w:hAnsi="&amp;quot"/>
          <w:color w:val="auto"/>
        </w:rPr>
      </w:pPr>
      <w:r>
        <w:rPr>
          <w:rFonts w:ascii="&amp;quot" w:hAnsi="&amp;quot"/>
          <w:color w:val="auto"/>
        </w:rPr>
        <w:t>Для определения кредитоспособности заемщика проводится количественный (оценка финансового состояния) и качественный анализ рисков. Целью проведения анализа рисков – определение возможности, размера и условий предоставления кредита.</w:t>
      </w:r>
    </w:p>
    <w:p w:rsidR="000D732C" w:rsidRDefault="000D732C" w:rsidP="000D73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mp;quot" w:hAnsi="&amp;quot"/>
          <w:color w:val="auto"/>
        </w:rPr>
      </w:pPr>
      <w:r>
        <w:rPr>
          <w:rFonts w:ascii="&amp;quot" w:hAnsi="&amp;quot"/>
          <w:color w:val="auto"/>
        </w:rPr>
        <w:t>Оценка финансового состояния заемщика по методике Сбербанка производится с учетом тенденций в изменении финансового состояния и факторов, влияющих на эти изменения. С этой целью необходимо проанализировать динамику оценочных показателей, структуру статей баланса, качество активов, основные направления хозяйственно-финансовой деятельности предприятия.</w:t>
      </w:r>
    </w:p>
    <w:p w:rsidR="000D732C" w:rsidRDefault="000D732C" w:rsidP="000D73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mp;quot" w:hAnsi="&amp;quot"/>
          <w:color w:val="auto"/>
        </w:rPr>
      </w:pPr>
      <w:r>
        <w:rPr>
          <w:rFonts w:ascii="&amp;quot" w:hAnsi="&amp;quot"/>
          <w:color w:val="auto"/>
        </w:rPr>
        <w:t xml:space="preserve">Оценка результатов расчетов коэффициентов заключается в присвоении Заемщику категории по каждому из этих показателей на основе сравнения полученных значений </w:t>
      </w:r>
      <w:proofErr w:type="gramStart"/>
      <w:r>
        <w:rPr>
          <w:rFonts w:ascii="&amp;quot" w:hAnsi="&amp;quot"/>
          <w:color w:val="auto"/>
        </w:rPr>
        <w:t>с</w:t>
      </w:r>
      <w:proofErr w:type="gramEnd"/>
      <w:r>
        <w:rPr>
          <w:rFonts w:ascii="&amp;quot" w:hAnsi="&amp;quot"/>
          <w:color w:val="auto"/>
        </w:rPr>
        <w:t xml:space="preserve"> установленными достаточными.</w:t>
      </w:r>
    </w:p>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ascii="&amp;quot" w:hAnsi="&amp;quot"/>
        </w:rPr>
      </w:pPr>
      <w:r>
        <w:rPr>
          <w:rFonts w:ascii="&amp;quot" w:hAnsi="&amp;quot"/>
        </w:rPr>
        <w:t>Таблица 4. Система финансовых коэффициентов, применяемая Сбербанком России в оценке кредитоспособности заемщика</w:t>
      </w:r>
    </w:p>
    <w:tbl>
      <w:tblPr>
        <w:tblW w:w="4933"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178"/>
        <w:gridCol w:w="1175"/>
        <w:gridCol w:w="1432"/>
        <w:gridCol w:w="1252"/>
        <w:gridCol w:w="1252"/>
      </w:tblGrid>
      <w:tr w:rsidR="000D732C" w:rsidTr="000D732C">
        <w:trPr>
          <w:jc w:val="center"/>
        </w:trPr>
        <w:tc>
          <w:tcPr>
            <w:tcW w:w="2352" w:type="pct"/>
            <w:vMerge w:val="restart"/>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Показатель</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 xml:space="preserve">Вес показателя </w:t>
            </w:r>
          </w:p>
        </w:tc>
        <w:tc>
          <w:tcPr>
            <w:tcW w:w="0" w:type="auto"/>
            <w:gridSpan w:val="3"/>
            <w:tcBorders>
              <w:top w:val="outset" w:sz="6" w:space="0" w:color="000000"/>
              <w:left w:val="outset" w:sz="6" w:space="0" w:color="000000"/>
              <w:bottom w:val="outset" w:sz="6" w:space="0" w:color="000000"/>
              <w:right w:val="outset" w:sz="6" w:space="0" w:color="000000"/>
            </w:tcBorders>
            <w:noWrap/>
            <w:vAlign w:val="center"/>
            <w:hideMark/>
          </w:tcPr>
          <w:p w:rsidR="000D732C" w:rsidRDefault="000D732C">
            <w:pPr>
              <w:jc w:val="center"/>
            </w:pPr>
            <w:r>
              <w:t> Справочно: категории показателя  </w:t>
            </w:r>
          </w:p>
        </w:tc>
      </w:tr>
      <w:tr w:rsidR="000D732C" w:rsidTr="000D732C">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732C" w:rsidRDefault="000D732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D732C" w:rsidRDefault="000D732C"/>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0D732C" w:rsidRDefault="000D732C">
            <w:pPr>
              <w:jc w:val="center"/>
            </w:pPr>
            <w:r>
              <w:t xml:space="preserve">  1 категория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0D732C" w:rsidRDefault="000D732C">
            <w:pPr>
              <w:jc w:val="center"/>
            </w:pPr>
            <w:r>
              <w:t>2 категория</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0D732C" w:rsidRDefault="000D732C">
            <w:pPr>
              <w:jc w:val="center"/>
            </w:pPr>
            <w:r>
              <w:t>3 категория</w:t>
            </w:r>
          </w:p>
        </w:tc>
      </w:tr>
      <w:tr w:rsidR="000D732C" w:rsidTr="000D732C">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rsidR="000D732C" w:rsidRDefault="000D732C">
            <w:r>
              <w:t xml:space="preserve">Коэффициент абсолютной ликвидности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0,1 и выше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0,05-0,1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менее 0,05</w:t>
            </w:r>
          </w:p>
        </w:tc>
      </w:tr>
      <w:tr w:rsidR="000D732C" w:rsidTr="000D732C">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rsidR="000D732C" w:rsidRDefault="000D732C">
            <w:r>
              <w:t xml:space="preserve">Коэффициент промежуточной (быстрой) ликвидности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0,8 и выше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 xml:space="preserve">0,5-0,8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менее 0,5</w:t>
            </w:r>
          </w:p>
        </w:tc>
      </w:tr>
      <w:tr w:rsidR="000D732C" w:rsidTr="000D732C">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rsidR="000D732C" w:rsidRDefault="000D732C">
            <w:r>
              <w:t xml:space="preserve">Коэффициент текущей ликвидности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1,5 и выше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1,0-1,5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менее 1,0</w:t>
            </w:r>
          </w:p>
        </w:tc>
      </w:tr>
      <w:tr w:rsidR="000D732C" w:rsidTr="000D732C">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rsidR="000D732C" w:rsidRDefault="000D732C">
            <w:r>
              <w:t xml:space="preserve">Коэффициент наличия собственных средств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 xml:space="preserve">0,4 и выше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0,25-0,4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менее 0,25</w:t>
            </w:r>
          </w:p>
        </w:tc>
      </w:tr>
      <w:tr w:rsidR="000D732C" w:rsidTr="000D732C">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rsidR="000D732C" w:rsidRDefault="000D732C">
            <w:r>
              <w:t xml:space="preserve">Рентабельность продукции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0,1 и выше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менее 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proofErr w:type="spellStart"/>
            <w:r>
              <w:t>нерентаб</w:t>
            </w:r>
            <w:proofErr w:type="spellEnd"/>
            <w:r>
              <w:t>.</w:t>
            </w:r>
          </w:p>
        </w:tc>
      </w:tr>
      <w:tr w:rsidR="000D732C" w:rsidTr="000D732C">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rsidR="000D732C" w:rsidRDefault="000D732C">
            <w:r>
              <w:t xml:space="preserve">Рентабельность деятельности предприятия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 xml:space="preserve">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0,06 и выше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r>
              <w:t>менее 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D732C" w:rsidRDefault="000D732C">
            <w:pPr>
              <w:jc w:val="center"/>
            </w:pPr>
            <w:proofErr w:type="spellStart"/>
            <w:r>
              <w:t>нерентаб</w:t>
            </w:r>
            <w:proofErr w:type="spellEnd"/>
            <w:r>
              <w:t>.</w:t>
            </w:r>
          </w:p>
        </w:tc>
      </w:tr>
    </w:tbl>
    <w:p w:rsidR="000D732C" w:rsidRDefault="000D732C" w:rsidP="000D732C">
      <w:pPr>
        <w:pStyle w:val="HTML"/>
        <w:jc w:val="center"/>
        <w:rPr>
          <w:rFonts w:ascii="Times New Roman" w:hAnsi="Times New Roman" w:cs="Times New Roman"/>
          <w:b/>
          <w:sz w:val="24"/>
          <w:szCs w:val="24"/>
          <w:u w:val="single"/>
        </w:rPr>
      </w:pP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rPr>
        <w:t>В соответствии с методикой Сбербанка заемщики делятся в зависимости от полученной суммы баллов на три класса:</w:t>
      </w:r>
    </w:p>
    <w:p w:rsidR="000D732C" w:rsidRDefault="000D732C" w:rsidP="000D732C">
      <w:pPr>
        <w:pStyle w:val="HTML"/>
        <w:rPr>
          <w:rFonts w:ascii="Times New Roman" w:hAnsi="Times New Roman" w:cs="Times New Roman"/>
          <w:sz w:val="24"/>
          <w:szCs w:val="24"/>
        </w:rPr>
      </w:pPr>
    </w:p>
    <w:p w:rsidR="000D732C" w:rsidRDefault="000D732C" w:rsidP="000D732C">
      <w:pPr>
        <w:pStyle w:val="HTML"/>
        <w:rPr>
          <w:rFonts w:ascii="Times New Roman" w:hAnsi="Times New Roman" w:cs="Times New Roman"/>
          <w:sz w:val="24"/>
          <w:szCs w:val="24"/>
        </w:rPr>
      </w:pPr>
      <w:proofErr w:type="gramStart"/>
      <w:r>
        <w:rPr>
          <w:rFonts w:ascii="Times New Roman" w:hAnsi="Times New Roman" w:cs="Times New Roman"/>
          <w:sz w:val="24"/>
          <w:szCs w:val="24"/>
        </w:rPr>
        <w:t>первоклассные</w:t>
      </w:r>
      <w:proofErr w:type="gramEnd"/>
      <w:r>
        <w:rPr>
          <w:rFonts w:ascii="Times New Roman" w:hAnsi="Times New Roman" w:cs="Times New Roman"/>
          <w:sz w:val="24"/>
          <w:szCs w:val="24"/>
        </w:rPr>
        <w:t xml:space="preserve"> – кредитование которых не вызывает сомнений (сумма баллов до 1,25 включительно);</w:t>
      </w:r>
    </w:p>
    <w:p w:rsidR="000D732C" w:rsidRDefault="000D732C" w:rsidP="000D732C">
      <w:pPr>
        <w:pStyle w:val="HTML"/>
        <w:rPr>
          <w:rFonts w:ascii="Times New Roman" w:hAnsi="Times New Roman" w:cs="Times New Roman"/>
          <w:sz w:val="24"/>
          <w:szCs w:val="24"/>
        </w:rPr>
      </w:pP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rPr>
        <w:t>второго класса – кредитование требует взвешенного подхода (больше 1,25, но меньше 2,35 включительно);</w:t>
      </w:r>
    </w:p>
    <w:p w:rsidR="000D732C" w:rsidRDefault="000D732C" w:rsidP="000D732C">
      <w:pPr>
        <w:pStyle w:val="HTML"/>
        <w:rPr>
          <w:rFonts w:ascii="Times New Roman" w:hAnsi="Times New Roman" w:cs="Times New Roman"/>
          <w:sz w:val="24"/>
          <w:szCs w:val="24"/>
        </w:rPr>
      </w:pP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rPr>
        <w:t>третьего класса – кредитование связано с повышенным риском (больше 2,35).</w:t>
      </w:r>
    </w:p>
    <w:p w:rsidR="000D732C" w:rsidRDefault="000D732C" w:rsidP="000D732C">
      <w:pPr>
        <w:pStyle w:val="HTML"/>
        <w:ind w:left="360"/>
        <w:rPr>
          <w:rFonts w:ascii="Times New Roman" w:hAnsi="Times New Roman" w:cs="Times New Roman"/>
          <w:b/>
          <w:sz w:val="24"/>
          <w:szCs w:val="24"/>
          <w:u w:val="single"/>
        </w:rPr>
      </w:pPr>
    </w:p>
    <w:p w:rsidR="000D732C" w:rsidRDefault="000D732C" w:rsidP="000D732C">
      <w:pPr>
        <w:pStyle w:val="HTML"/>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5. Прогноз банкротства</w:t>
      </w:r>
    </w:p>
    <w:p w:rsidR="000D732C" w:rsidRDefault="000D732C" w:rsidP="000D732C">
      <w:pPr>
        <w:pStyle w:val="HTML"/>
        <w:ind w:left="757"/>
        <w:rPr>
          <w:rFonts w:ascii="Times New Roman" w:hAnsi="Times New Roman" w:cs="Times New Roman"/>
          <w:b/>
          <w:sz w:val="24"/>
          <w:szCs w:val="24"/>
          <w:u w:val="single"/>
        </w:rPr>
      </w:pPr>
    </w:p>
    <w:p w:rsidR="000D732C" w:rsidRDefault="000D732C" w:rsidP="000D732C">
      <w:pPr>
        <w:pStyle w:val="HTML"/>
        <w:rPr>
          <w:rFonts w:ascii="Times New Roman" w:hAnsi="Times New Roman" w:cs="Times New Roman"/>
          <w:b/>
          <w:sz w:val="24"/>
          <w:szCs w:val="24"/>
        </w:rPr>
      </w:pPr>
      <w:r>
        <w:rPr>
          <w:rFonts w:ascii="Times New Roman" w:hAnsi="Times New Roman" w:cs="Times New Roman"/>
          <w:b/>
          <w:sz w:val="24"/>
          <w:szCs w:val="24"/>
        </w:rPr>
        <w:t>В качестве одного из показателей вероятности банкротства организации берется 4-факторная модель Z-счета Альтмана для частных непроизводственных компаний.</w:t>
      </w:r>
    </w:p>
    <w:p w:rsidR="000D732C" w:rsidRDefault="000D732C" w:rsidP="000D732C">
      <w:pPr>
        <w:pStyle w:val="HTML"/>
        <w:rPr>
          <w:rFonts w:ascii="Times New Roman" w:hAnsi="Times New Roman" w:cs="Times New Roman"/>
          <w:b/>
          <w:sz w:val="24"/>
          <w:szCs w:val="24"/>
        </w:rPr>
      </w:pPr>
    </w:p>
    <w:p w:rsidR="000D732C" w:rsidRDefault="000D732C" w:rsidP="000D732C">
      <w:pPr>
        <w:pStyle w:val="HTML"/>
        <w:rPr>
          <w:rFonts w:ascii="Times New Roman" w:hAnsi="Times New Roman" w:cs="Times New Roman"/>
          <w:sz w:val="24"/>
          <w:szCs w:val="24"/>
        </w:rPr>
      </w:pPr>
      <w:r>
        <w:rPr>
          <w:rFonts w:ascii="Times New Roman" w:hAnsi="Times New Roman" w:cs="Times New Roman"/>
          <w:sz w:val="24"/>
          <w:szCs w:val="24"/>
        </w:rPr>
        <w:t xml:space="preserve">Z-модель Альтмана (Z-счет Альтмана, </w:t>
      </w:r>
      <w:proofErr w:type="spellStart"/>
      <w:r>
        <w:rPr>
          <w:rFonts w:ascii="Times New Roman" w:hAnsi="Times New Roman" w:cs="Times New Roman"/>
          <w:sz w:val="24"/>
          <w:szCs w:val="24"/>
        </w:rPr>
        <w:t>Altman</w:t>
      </w:r>
      <w:proofErr w:type="spellEnd"/>
      <w:r>
        <w:rPr>
          <w:rFonts w:ascii="Times New Roman" w:hAnsi="Times New Roman" w:cs="Times New Roman"/>
          <w:sz w:val="24"/>
          <w:szCs w:val="24"/>
        </w:rPr>
        <w:t xml:space="preserve"> Z-</w:t>
      </w:r>
      <w:proofErr w:type="spellStart"/>
      <w:r>
        <w:rPr>
          <w:rFonts w:ascii="Times New Roman" w:hAnsi="Times New Roman" w:cs="Times New Roman"/>
          <w:sz w:val="24"/>
          <w:szCs w:val="24"/>
        </w:rPr>
        <w:t>Score</w:t>
      </w:r>
      <w:proofErr w:type="spellEnd"/>
      <w:r>
        <w:rPr>
          <w:rFonts w:ascii="Times New Roman" w:hAnsi="Times New Roman" w:cs="Times New Roman"/>
          <w:sz w:val="24"/>
          <w:szCs w:val="24"/>
        </w:rPr>
        <w:t>) – это финансовая модель (формула), разработанная американским экономистом Эдвардом Альтманом, призванная дать прогноз вероятности банкротства предприятия.</w:t>
      </w:r>
    </w:p>
    <w:p w:rsidR="000D732C" w:rsidRDefault="000D732C" w:rsidP="000D732C">
      <w:pPr>
        <w:pStyle w:val="HTML"/>
        <w:jc w:val="center"/>
        <w:rPr>
          <w:rFonts w:ascii="Times New Roman" w:hAnsi="Times New Roman" w:cs="Times New Roman"/>
          <w:b/>
          <w:sz w:val="24"/>
          <w:szCs w:val="24"/>
          <w:u w:val="single"/>
        </w:rPr>
      </w:pPr>
    </w:p>
    <w:p w:rsidR="000D732C" w:rsidRDefault="000D732C" w:rsidP="000D732C">
      <w:pPr>
        <w:pStyle w:val="HTML"/>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Z-score = 6.56T1 + 3.26T2 + 6.72T3 + 1.05T4</w:t>
      </w:r>
    </w:p>
    <w:p w:rsidR="000D732C" w:rsidRDefault="000D732C" w:rsidP="000D732C">
      <w:pPr>
        <w:pStyle w:val="HTML"/>
        <w:jc w:val="both"/>
        <w:rPr>
          <w:rFonts w:ascii="Times New Roman" w:hAnsi="Times New Roman" w:cs="Times New Roman"/>
          <w:b/>
          <w:sz w:val="24"/>
          <w:szCs w:val="24"/>
          <w:u w:val="single"/>
          <w:lang w:val="en-US"/>
        </w:rPr>
      </w:pPr>
    </w:p>
    <w:p w:rsidR="000D732C" w:rsidRDefault="000D732C" w:rsidP="000D732C">
      <w:pPr>
        <w:pStyle w:val="HTML"/>
        <w:outlineLvl w:val="0"/>
        <w:rPr>
          <w:rFonts w:ascii="Times New Roman" w:hAnsi="Times New Roman" w:cs="Times New Roman"/>
          <w:sz w:val="24"/>
          <w:szCs w:val="24"/>
        </w:rPr>
      </w:pPr>
      <w:r>
        <w:rPr>
          <w:rFonts w:ascii="Times New Roman" w:hAnsi="Times New Roman" w:cs="Times New Roman"/>
          <w:sz w:val="24"/>
          <w:szCs w:val="24"/>
        </w:rPr>
        <w:t>где,</w:t>
      </w:r>
    </w:p>
    <w:p w:rsidR="000D732C" w:rsidRDefault="000D732C" w:rsidP="000D732C">
      <w:pPr>
        <w:pStyle w:val="HTML"/>
        <w:outlineLvl w:val="0"/>
        <w:rPr>
          <w:rFonts w:ascii="Times New Roman" w:hAnsi="Times New Roman" w:cs="Times New Roman"/>
          <w:sz w:val="24"/>
          <w:szCs w:val="24"/>
        </w:rPr>
      </w:pPr>
      <w:r>
        <w:rPr>
          <w:rFonts w:ascii="Times New Roman" w:hAnsi="Times New Roman" w:cs="Times New Roman"/>
          <w:sz w:val="24"/>
          <w:szCs w:val="24"/>
        </w:rPr>
        <w:t xml:space="preserve">T1 = Рабочий капитал / Активы </w:t>
      </w:r>
    </w:p>
    <w:p w:rsidR="000D732C" w:rsidRDefault="000D732C" w:rsidP="000D732C">
      <w:pPr>
        <w:pStyle w:val="HTML"/>
        <w:outlineLvl w:val="0"/>
        <w:rPr>
          <w:rFonts w:ascii="Times New Roman" w:hAnsi="Times New Roman" w:cs="Times New Roman"/>
          <w:sz w:val="24"/>
          <w:szCs w:val="24"/>
        </w:rPr>
      </w:pPr>
      <w:r>
        <w:rPr>
          <w:rFonts w:ascii="Times New Roman" w:hAnsi="Times New Roman" w:cs="Times New Roman"/>
          <w:sz w:val="24"/>
          <w:szCs w:val="24"/>
        </w:rPr>
        <w:t xml:space="preserve">T2 = Нераспределенная прибыль / Активы </w:t>
      </w:r>
    </w:p>
    <w:p w:rsidR="000D732C" w:rsidRDefault="000D732C" w:rsidP="000D732C">
      <w:pPr>
        <w:pStyle w:val="HTML"/>
        <w:outlineLvl w:val="0"/>
        <w:rPr>
          <w:rFonts w:ascii="Times New Roman" w:hAnsi="Times New Roman" w:cs="Times New Roman"/>
          <w:sz w:val="24"/>
          <w:szCs w:val="24"/>
        </w:rPr>
      </w:pPr>
      <w:r>
        <w:rPr>
          <w:rFonts w:ascii="Times New Roman" w:hAnsi="Times New Roman" w:cs="Times New Roman"/>
          <w:sz w:val="24"/>
          <w:szCs w:val="24"/>
        </w:rPr>
        <w:t xml:space="preserve">T3 = EBIT / Активы </w:t>
      </w:r>
    </w:p>
    <w:p w:rsidR="000D732C" w:rsidRDefault="000D732C" w:rsidP="000D732C">
      <w:pPr>
        <w:pStyle w:val="HTML"/>
        <w:outlineLvl w:val="0"/>
        <w:rPr>
          <w:rFonts w:ascii="Times New Roman" w:hAnsi="Times New Roman" w:cs="Times New Roman"/>
          <w:sz w:val="24"/>
          <w:szCs w:val="24"/>
        </w:rPr>
      </w:pPr>
      <w:r>
        <w:rPr>
          <w:rFonts w:ascii="Times New Roman" w:hAnsi="Times New Roman" w:cs="Times New Roman"/>
          <w:sz w:val="24"/>
          <w:szCs w:val="24"/>
        </w:rPr>
        <w:t>T4 = Собственный капитал / Обязательства</w:t>
      </w:r>
    </w:p>
    <w:p w:rsidR="000D732C" w:rsidRDefault="000D732C" w:rsidP="000D732C">
      <w:pPr>
        <w:pStyle w:val="HTML"/>
        <w:outlineLvl w:val="0"/>
        <w:rPr>
          <w:rFonts w:ascii="Times New Roman" w:hAnsi="Times New Roman" w:cs="Times New Roman"/>
          <w:sz w:val="24"/>
          <w:szCs w:val="24"/>
        </w:rPr>
      </w:pPr>
    </w:p>
    <w:p w:rsidR="000D732C" w:rsidRDefault="000D732C" w:rsidP="000D732C">
      <w:pPr>
        <w:pStyle w:val="HTML"/>
        <w:outlineLvl w:val="0"/>
        <w:rPr>
          <w:rFonts w:ascii="Times New Roman" w:hAnsi="Times New Roman" w:cs="Times New Roman"/>
          <w:sz w:val="24"/>
          <w:szCs w:val="24"/>
        </w:rPr>
      </w:pPr>
      <w:r>
        <w:rPr>
          <w:rFonts w:ascii="Times New Roman" w:hAnsi="Times New Roman" w:cs="Times New Roman"/>
          <w:sz w:val="24"/>
          <w:szCs w:val="24"/>
        </w:rPr>
        <w:t>Интерпретация полученного результата:</w:t>
      </w:r>
    </w:p>
    <w:p w:rsidR="000D732C" w:rsidRDefault="000D732C" w:rsidP="000D732C">
      <w:pPr>
        <w:pStyle w:val="HTML"/>
        <w:outlineLvl w:val="0"/>
        <w:rPr>
          <w:rFonts w:ascii="Times New Roman" w:hAnsi="Times New Roman" w:cs="Times New Roman"/>
          <w:sz w:val="24"/>
          <w:szCs w:val="24"/>
        </w:rPr>
      </w:pPr>
      <w:r>
        <w:rPr>
          <w:rFonts w:ascii="Times New Roman" w:hAnsi="Times New Roman" w:cs="Times New Roman"/>
          <w:sz w:val="24"/>
          <w:szCs w:val="24"/>
        </w:rPr>
        <w:t>1.1 и менее – "Красная" зона, существует вероятность банкротства предприятия;</w:t>
      </w:r>
    </w:p>
    <w:p w:rsidR="000D732C" w:rsidRDefault="000D732C" w:rsidP="000D732C">
      <w:pPr>
        <w:pStyle w:val="HTML"/>
        <w:outlineLvl w:val="0"/>
        <w:rPr>
          <w:rFonts w:ascii="Times New Roman" w:hAnsi="Times New Roman" w:cs="Times New Roman"/>
          <w:sz w:val="24"/>
          <w:szCs w:val="24"/>
        </w:rPr>
      </w:pPr>
      <w:r>
        <w:rPr>
          <w:rFonts w:ascii="Times New Roman" w:hAnsi="Times New Roman" w:cs="Times New Roman"/>
          <w:sz w:val="24"/>
          <w:szCs w:val="24"/>
        </w:rPr>
        <w:t>от 1.1 до 2.6 – "Серая" зона, пограничное состояние, вероятность банкротства не высока, но не исключается;</w:t>
      </w:r>
    </w:p>
    <w:p w:rsidR="000D732C" w:rsidRDefault="000D732C" w:rsidP="000D732C">
      <w:pPr>
        <w:pStyle w:val="HTML"/>
        <w:outlineLvl w:val="0"/>
        <w:rPr>
          <w:rFonts w:ascii="Times New Roman" w:hAnsi="Times New Roman" w:cs="Times New Roman"/>
          <w:sz w:val="24"/>
          <w:szCs w:val="24"/>
        </w:rPr>
      </w:pPr>
      <w:r>
        <w:rPr>
          <w:rFonts w:ascii="Times New Roman" w:hAnsi="Times New Roman" w:cs="Times New Roman"/>
          <w:sz w:val="24"/>
          <w:szCs w:val="24"/>
        </w:rPr>
        <w:t>2.6 и более – "Зеленая" зона, низкая вероятность банкротства</w:t>
      </w:r>
    </w:p>
    <w:p w:rsidR="000D732C" w:rsidRDefault="000D732C" w:rsidP="000D732C">
      <w:pPr>
        <w:pStyle w:val="HTML"/>
        <w:outlineLvl w:val="0"/>
        <w:rPr>
          <w:rFonts w:ascii="Times New Roman" w:hAnsi="Times New Roman" w:cs="Times New Roman"/>
          <w:sz w:val="24"/>
          <w:szCs w:val="24"/>
        </w:rPr>
      </w:pPr>
    </w:p>
    <w:p w:rsidR="000D732C" w:rsidRDefault="000D732C" w:rsidP="000D732C">
      <w:pPr>
        <w:pStyle w:val="HTML"/>
        <w:outlineLvl w:val="0"/>
        <w:rPr>
          <w:rFonts w:ascii="Times New Roman" w:hAnsi="Times New Roman" w:cs="Times New Roman"/>
          <w:sz w:val="24"/>
          <w:szCs w:val="24"/>
        </w:rPr>
      </w:pPr>
      <w:r>
        <w:rPr>
          <w:rFonts w:ascii="Times New Roman" w:hAnsi="Times New Roman" w:cs="Times New Roman"/>
          <w:sz w:val="24"/>
          <w:szCs w:val="24"/>
        </w:rPr>
        <w:t xml:space="preserve">Усовершенствованной альтернативой модели Альтмана считается формула прогноза банкротства, разработанная британскими учеными Р. </w:t>
      </w:r>
      <w:proofErr w:type="spellStart"/>
      <w:r>
        <w:rPr>
          <w:rFonts w:ascii="Times New Roman" w:hAnsi="Times New Roman" w:cs="Times New Roman"/>
          <w:sz w:val="24"/>
          <w:szCs w:val="24"/>
        </w:rPr>
        <w:t>Таффлер</w:t>
      </w:r>
      <w:proofErr w:type="spellEnd"/>
      <w:r>
        <w:rPr>
          <w:rFonts w:ascii="Times New Roman" w:hAnsi="Times New Roman" w:cs="Times New Roman"/>
          <w:sz w:val="24"/>
          <w:szCs w:val="24"/>
        </w:rPr>
        <w:t xml:space="preserve"> и Г. </w:t>
      </w:r>
      <w:proofErr w:type="spellStart"/>
      <w:r>
        <w:rPr>
          <w:rFonts w:ascii="Times New Roman" w:hAnsi="Times New Roman" w:cs="Times New Roman"/>
          <w:sz w:val="24"/>
          <w:szCs w:val="24"/>
        </w:rPr>
        <w:t>Тишоу</w:t>
      </w:r>
      <w:proofErr w:type="spellEnd"/>
      <w:r>
        <w:rPr>
          <w:rFonts w:ascii="Times New Roman" w:hAnsi="Times New Roman" w:cs="Times New Roman"/>
          <w:sz w:val="24"/>
          <w:szCs w:val="24"/>
        </w:rPr>
        <w:t xml:space="preserve">. Модель </w:t>
      </w:r>
      <w:proofErr w:type="spellStart"/>
      <w:r>
        <w:rPr>
          <w:rFonts w:ascii="Times New Roman" w:hAnsi="Times New Roman" w:cs="Times New Roman"/>
          <w:sz w:val="24"/>
          <w:szCs w:val="24"/>
        </w:rPr>
        <w:t>Таффлера</w:t>
      </w:r>
      <w:proofErr w:type="spellEnd"/>
      <w:r>
        <w:rPr>
          <w:rFonts w:ascii="Times New Roman" w:hAnsi="Times New Roman" w:cs="Times New Roman"/>
          <w:sz w:val="24"/>
          <w:szCs w:val="24"/>
        </w:rPr>
        <w:t xml:space="preserve"> описана следующей формулой:</w:t>
      </w:r>
    </w:p>
    <w:p w:rsidR="000D732C" w:rsidRDefault="000D732C" w:rsidP="000D732C">
      <w:pPr>
        <w:pStyle w:val="HTML"/>
        <w:outlineLvl w:val="0"/>
        <w:rPr>
          <w:rFonts w:ascii="Times New Roman" w:hAnsi="Times New Roman" w:cs="Times New Roman"/>
          <w:sz w:val="24"/>
          <w:szCs w:val="24"/>
        </w:rPr>
      </w:pPr>
    </w:p>
    <w:p w:rsidR="000D732C" w:rsidRDefault="000D732C" w:rsidP="000D732C">
      <w:pPr>
        <w:pStyle w:val="HTML"/>
        <w:outlineLvl w:val="0"/>
        <w:rPr>
          <w:rFonts w:ascii="Times New Roman" w:hAnsi="Times New Roman" w:cs="Times New Roman"/>
          <w:sz w:val="24"/>
          <w:szCs w:val="24"/>
        </w:rPr>
      </w:pPr>
      <w:r>
        <w:rPr>
          <w:rFonts w:ascii="Times New Roman" w:hAnsi="Times New Roman" w:cs="Times New Roman"/>
          <w:sz w:val="24"/>
          <w:szCs w:val="24"/>
        </w:rPr>
        <w:t>Z = 0,53X1 + 0,13X2 + 0,18X3 + 0,16X4, где</w:t>
      </w:r>
    </w:p>
    <w:p w:rsidR="000D732C" w:rsidRDefault="000D732C" w:rsidP="000D732C">
      <w:pPr>
        <w:pStyle w:val="HTML"/>
        <w:outlineLvl w:val="0"/>
        <w:rPr>
          <w:rFonts w:ascii="Times New Roman" w:hAnsi="Times New Roman" w:cs="Times New Roman"/>
          <w:sz w:val="24"/>
          <w:szCs w:val="24"/>
        </w:rPr>
      </w:pPr>
    </w:p>
    <w:p w:rsidR="000D732C" w:rsidRDefault="000D732C" w:rsidP="000D732C">
      <w:pPr>
        <w:pStyle w:val="HTML"/>
        <w:outlineLvl w:val="0"/>
        <w:rPr>
          <w:rFonts w:ascii="Times New Roman" w:hAnsi="Times New Roman" w:cs="Times New Roman"/>
          <w:sz w:val="24"/>
          <w:szCs w:val="24"/>
        </w:rPr>
      </w:pPr>
      <w:r>
        <w:rPr>
          <w:rFonts w:ascii="Times New Roman" w:hAnsi="Times New Roman" w:cs="Times New Roman"/>
          <w:sz w:val="24"/>
          <w:szCs w:val="24"/>
        </w:rPr>
        <w:t xml:space="preserve">X1 Прибыль до налогообложения / Краткосрочные обязательства </w:t>
      </w:r>
    </w:p>
    <w:p w:rsidR="000D732C" w:rsidRDefault="000D732C" w:rsidP="000D732C">
      <w:pPr>
        <w:pStyle w:val="HTML"/>
        <w:outlineLvl w:val="0"/>
        <w:rPr>
          <w:rFonts w:ascii="Times New Roman" w:hAnsi="Times New Roman" w:cs="Times New Roman"/>
          <w:sz w:val="24"/>
          <w:szCs w:val="24"/>
        </w:rPr>
      </w:pPr>
      <w:r>
        <w:rPr>
          <w:rFonts w:ascii="Times New Roman" w:hAnsi="Times New Roman" w:cs="Times New Roman"/>
          <w:sz w:val="24"/>
          <w:szCs w:val="24"/>
        </w:rPr>
        <w:t xml:space="preserve">X2 Оборотные активы / Обязательства </w:t>
      </w:r>
    </w:p>
    <w:p w:rsidR="000D732C" w:rsidRDefault="000D732C" w:rsidP="000D732C">
      <w:pPr>
        <w:pStyle w:val="HTML"/>
        <w:outlineLvl w:val="0"/>
        <w:rPr>
          <w:rFonts w:ascii="Times New Roman" w:hAnsi="Times New Roman" w:cs="Times New Roman"/>
          <w:sz w:val="24"/>
          <w:szCs w:val="24"/>
        </w:rPr>
      </w:pPr>
      <w:r>
        <w:rPr>
          <w:rFonts w:ascii="Times New Roman" w:hAnsi="Times New Roman" w:cs="Times New Roman"/>
          <w:sz w:val="24"/>
          <w:szCs w:val="24"/>
        </w:rPr>
        <w:t xml:space="preserve">X3 Краткосрочные обязательства / Активы </w:t>
      </w:r>
    </w:p>
    <w:p w:rsidR="000D732C" w:rsidRDefault="000D732C" w:rsidP="000D732C">
      <w:pPr>
        <w:pStyle w:val="HTML"/>
        <w:outlineLvl w:val="0"/>
        <w:rPr>
          <w:rFonts w:ascii="Times New Roman" w:hAnsi="Times New Roman" w:cs="Times New Roman"/>
          <w:sz w:val="24"/>
          <w:szCs w:val="24"/>
        </w:rPr>
      </w:pPr>
      <w:r>
        <w:rPr>
          <w:rFonts w:ascii="Times New Roman" w:hAnsi="Times New Roman" w:cs="Times New Roman"/>
          <w:sz w:val="24"/>
          <w:szCs w:val="24"/>
        </w:rPr>
        <w:t>X4 Выручка / Активы</w:t>
      </w:r>
    </w:p>
    <w:p w:rsidR="000D732C" w:rsidRDefault="000D732C" w:rsidP="000D732C">
      <w:pPr>
        <w:pStyle w:val="HTML"/>
        <w:outlineLvl w:val="0"/>
        <w:rPr>
          <w:rFonts w:ascii="Times New Roman" w:hAnsi="Times New Roman" w:cs="Times New Roman"/>
          <w:sz w:val="24"/>
          <w:szCs w:val="24"/>
        </w:rPr>
      </w:pPr>
    </w:p>
    <w:p w:rsidR="000D732C" w:rsidRDefault="000D732C" w:rsidP="000D732C">
      <w:pPr>
        <w:pStyle w:val="HTML"/>
        <w:outlineLvl w:val="0"/>
        <w:rPr>
          <w:rFonts w:ascii="Times New Roman" w:hAnsi="Times New Roman" w:cs="Times New Roman"/>
          <w:sz w:val="24"/>
          <w:szCs w:val="24"/>
        </w:rPr>
      </w:pPr>
      <w:r>
        <w:rPr>
          <w:rFonts w:ascii="Times New Roman" w:hAnsi="Times New Roman" w:cs="Times New Roman"/>
          <w:sz w:val="24"/>
          <w:szCs w:val="24"/>
        </w:rPr>
        <w:t xml:space="preserve">Вероятность банкротства по модели </w:t>
      </w:r>
      <w:proofErr w:type="spellStart"/>
      <w:r>
        <w:rPr>
          <w:rFonts w:ascii="Times New Roman" w:hAnsi="Times New Roman" w:cs="Times New Roman"/>
          <w:sz w:val="24"/>
          <w:szCs w:val="24"/>
        </w:rPr>
        <w:t>Таффлера</w:t>
      </w:r>
      <w:proofErr w:type="spellEnd"/>
      <w:r>
        <w:rPr>
          <w:rFonts w:ascii="Times New Roman" w:hAnsi="Times New Roman" w:cs="Times New Roman"/>
          <w:sz w:val="24"/>
          <w:szCs w:val="24"/>
        </w:rPr>
        <w:t>:</w:t>
      </w:r>
    </w:p>
    <w:p w:rsidR="000D732C" w:rsidRDefault="000D732C" w:rsidP="000D732C">
      <w:pPr>
        <w:pStyle w:val="HTML"/>
        <w:outlineLvl w:val="0"/>
        <w:rPr>
          <w:rFonts w:ascii="Times New Roman" w:hAnsi="Times New Roman" w:cs="Times New Roman"/>
          <w:sz w:val="24"/>
          <w:szCs w:val="24"/>
        </w:rPr>
      </w:pPr>
      <w:r>
        <w:rPr>
          <w:rFonts w:ascii="Times New Roman" w:hAnsi="Times New Roman" w:cs="Times New Roman"/>
          <w:sz w:val="24"/>
          <w:szCs w:val="24"/>
        </w:rPr>
        <w:t xml:space="preserve">Z больше 0,3 – вероятность банкротства низкая; </w:t>
      </w:r>
    </w:p>
    <w:p w:rsidR="000D732C" w:rsidRDefault="000D732C" w:rsidP="000D732C">
      <w:pPr>
        <w:pStyle w:val="HTML"/>
        <w:outlineLvl w:val="0"/>
        <w:rPr>
          <w:rFonts w:ascii="Times New Roman" w:hAnsi="Times New Roman" w:cs="Times New Roman"/>
          <w:sz w:val="24"/>
          <w:szCs w:val="24"/>
        </w:rPr>
      </w:pPr>
      <w:r>
        <w:rPr>
          <w:rFonts w:ascii="Times New Roman" w:hAnsi="Times New Roman" w:cs="Times New Roman"/>
          <w:sz w:val="24"/>
          <w:szCs w:val="24"/>
        </w:rPr>
        <w:t>Z меньше 0,2 – вероятность банкротства высокая.</w:t>
      </w:r>
    </w:p>
    <w:p w:rsidR="000D732C" w:rsidRDefault="000D732C" w:rsidP="000D732C">
      <w:pPr>
        <w:pStyle w:val="HTML"/>
        <w:outlineLvl w:val="0"/>
        <w:rPr>
          <w:rFonts w:ascii="Times New Roman" w:hAnsi="Times New Roman" w:cs="Times New Roman"/>
          <w:sz w:val="24"/>
          <w:szCs w:val="24"/>
        </w:rPr>
      </w:pPr>
    </w:p>
    <w:p w:rsidR="000D732C" w:rsidRDefault="000D732C" w:rsidP="000D732C">
      <w:pPr>
        <w:pStyle w:val="HTML"/>
        <w:outlineLvl w:val="0"/>
        <w:rPr>
          <w:rFonts w:ascii="Times New Roman" w:hAnsi="Times New Roman" w:cs="Times New Roman"/>
          <w:sz w:val="24"/>
          <w:szCs w:val="24"/>
        </w:rPr>
      </w:pPr>
      <w:r>
        <w:rPr>
          <w:rFonts w:ascii="Times New Roman" w:hAnsi="Times New Roman" w:cs="Times New Roman"/>
          <w:sz w:val="24"/>
          <w:szCs w:val="24"/>
        </w:rPr>
        <w:t>На основании двух моделей принимается решение о вероятности банкротства.</w:t>
      </w:r>
    </w:p>
    <w:p w:rsidR="000D732C" w:rsidRDefault="000D732C" w:rsidP="000D732C">
      <w:pPr>
        <w:pStyle w:val="HTML"/>
        <w:outlineLvl w:val="0"/>
        <w:rPr>
          <w:rFonts w:ascii="Times New Roman" w:hAnsi="Times New Roman" w:cs="Times New Roman"/>
          <w:sz w:val="24"/>
          <w:szCs w:val="24"/>
        </w:rPr>
      </w:pPr>
    </w:p>
    <w:tbl>
      <w:tblPr>
        <w:tblW w:w="4401" w:type="dxa"/>
        <w:tblLook w:val="00A0" w:firstRow="1" w:lastRow="0" w:firstColumn="1" w:lastColumn="0" w:noHBand="0" w:noVBand="0"/>
      </w:tblPr>
      <w:tblGrid>
        <w:gridCol w:w="1680"/>
        <w:gridCol w:w="984"/>
        <w:gridCol w:w="989"/>
        <w:gridCol w:w="989"/>
      </w:tblGrid>
      <w:tr w:rsidR="000D732C" w:rsidTr="000D732C">
        <w:trPr>
          <w:trHeight w:val="300"/>
        </w:trPr>
        <w:tc>
          <w:tcPr>
            <w:tcW w:w="1680" w:type="dxa"/>
            <w:tcBorders>
              <w:top w:val="single" w:sz="4" w:space="0" w:color="auto"/>
              <w:left w:val="single" w:sz="4" w:space="0" w:color="auto"/>
              <w:bottom w:val="single" w:sz="4" w:space="0" w:color="auto"/>
              <w:right w:val="single" w:sz="4" w:space="0" w:color="auto"/>
            </w:tcBorders>
            <w:noWrap/>
            <w:vAlign w:val="bottom"/>
            <w:hideMark/>
          </w:tcPr>
          <w:p w:rsidR="000D732C" w:rsidRDefault="000D732C">
            <w:pPr>
              <w:rPr>
                <w:rFonts w:ascii="Calibri" w:hAnsi="Calibri" w:cs="Calibri"/>
                <w:color w:val="000000"/>
              </w:rPr>
            </w:pPr>
            <w:r>
              <w:rPr>
                <w:rFonts w:ascii="Calibri" w:hAnsi="Calibri" w:cs="Calibri"/>
                <w:color w:val="000000"/>
                <w:sz w:val="22"/>
                <w:szCs w:val="22"/>
              </w:rPr>
              <w:t>Z-счет Альтмана</w:t>
            </w:r>
          </w:p>
        </w:tc>
        <w:tc>
          <w:tcPr>
            <w:tcW w:w="2721" w:type="dxa"/>
            <w:gridSpan w:val="3"/>
            <w:tcBorders>
              <w:top w:val="single" w:sz="4" w:space="0" w:color="auto"/>
              <w:left w:val="nil"/>
              <w:bottom w:val="single" w:sz="4" w:space="0" w:color="auto"/>
              <w:right w:val="single" w:sz="4" w:space="0" w:color="auto"/>
            </w:tcBorders>
            <w:noWrap/>
            <w:vAlign w:val="bottom"/>
            <w:hideMark/>
          </w:tcPr>
          <w:p w:rsidR="000D732C" w:rsidRDefault="000D732C">
            <w:pPr>
              <w:jc w:val="center"/>
              <w:rPr>
                <w:rFonts w:ascii="Calibri" w:hAnsi="Calibri" w:cs="Calibri"/>
                <w:color w:val="000000"/>
              </w:rPr>
            </w:pPr>
            <w:proofErr w:type="spellStart"/>
            <w:r>
              <w:rPr>
                <w:rFonts w:ascii="Calibri" w:hAnsi="Calibri" w:cs="Calibri"/>
                <w:color w:val="000000"/>
                <w:sz w:val="22"/>
                <w:szCs w:val="22"/>
              </w:rPr>
              <w:t>Таффлера</w:t>
            </w:r>
            <w:proofErr w:type="spellEnd"/>
          </w:p>
        </w:tc>
      </w:tr>
      <w:tr w:rsidR="000D732C" w:rsidTr="000D732C">
        <w:trPr>
          <w:trHeight w:val="300"/>
        </w:trPr>
        <w:tc>
          <w:tcPr>
            <w:tcW w:w="1680" w:type="dxa"/>
            <w:tcBorders>
              <w:top w:val="nil"/>
              <w:left w:val="single" w:sz="4" w:space="0" w:color="auto"/>
              <w:bottom w:val="single" w:sz="4" w:space="0" w:color="auto"/>
              <w:right w:val="single" w:sz="4" w:space="0" w:color="auto"/>
            </w:tcBorders>
            <w:noWrap/>
            <w:vAlign w:val="bottom"/>
            <w:hideMark/>
          </w:tcPr>
          <w:p w:rsidR="000D732C" w:rsidRDefault="000D732C">
            <w:pPr>
              <w:rPr>
                <w:rFonts w:ascii="Calibri" w:hAnsi="Calibri" w:cs="Calibri"/>
                <w:color w:val="000000"/>
              </w:rPr>
            </w:pPr>
            <w:r>
              <w:rPr>
                <w:rFonts w:ascii="Calibri" w:hAnsi="Calibri" w:cs="Calibri"/>
                <w:color w:val="000000"/>
                <w:sz w:val="22"/>
                <w:szCs w:val="22"/>
              </w:rPr>
              <w:t> </w:t>
            </w:r>
          </w:p>
        </w:tc>
        <w:tc>
          <w:tcPr>
            <w:tcW w:w="903" w:type="dxa"/>
            <w:tcBorders>
              <w:top w:val="nil"/>
              <w:left w:val="nil"/>
              <w:bottom w:val="single" w:sz="4" w:space="0" w:color="auto"/>
              <w:right w:val="single" w:sz="4" w:space="0" w:color="auto"/>
            </w:tcBorders>
            <w:noWrap/>
            <w:vAlign w:val="bottom"/>
            <w:hideMark/>
          </w:tcPr>
          <w:p w:rsidR="000D732C" w:rsidRDefault="000D732C">
            <w:pPr>
              <w:rPr>
                <w:rFonts w:ascii="Calibri" w:hAnsi="Calibri" w:cs="Calibri"/>
                <w:color w:val="000000"/>
              </w:rPr>
            </w:pPr>
            <w:r>
              <w:rPr>
                <w:rFonts w:ascii="Calibri" w:hAnsi="Calibri" w:cs="Calibri"/>
                <w:color w:val="000000"/>
                <w:sz w:val="22"/>
                <w:szCs w:val="22"/>
              </w:rPr>
              <w:t>низкая</w:t>
            </w:r>
          </w:p>
        </w:tc>
        <w:tc>
          <w:tcPr>
            <w:tcW w:w="909" w:type="dxa"/>
            <w:tcBorders>
              <w:top w:val="nil"/>
              <w:left w:val="nil"/>
              <w:bottom w:val="single" w:sz="4" w:space="0" w:color="auto"/>
              <w:right w:val="single" w:sz="4" w:space="0" w:color="auto"/>
            </w:tcBorders>
            <w:noWrap/>
            <w:vAlign w:val="bottom"/>
            <w:hideMark/>
          </w:tcPr>
          <w:p w:rsidR="000D732C" w:rsidRDefault="000D732C">
            <w:pPr>
              <w:rPr>
                <w:rFonts w:ascii="Calibri" w:hAnsi="Calibri" w:cs="Calibri"/>
                <w:color w:val="000000"/>
              </w:rPr>
            </w:pPr>
            <w:r>
              <w:rPr>
                <w:rFonts w:ascii="Calibri" w:hAnsi="Calibri" w:cs="Calibri"/>
                <w:color w:val="000000"/>
                <w:sz w:val="22"/>
                <w:szCs w:val="22"/>
              </w:rPr>
              <w:t>средняя</w:t>
            </w:r>
          </w:p>
        </w:tc>
        <w:tc>
          <w:tcPr>
            <w:tcW w:w="909" w:type="dxa"/>
            <w:tcBorders>
              <w:top w:val="nil"/>
              <w:left w:val="nil"/>
              <w:bottom w:val="single" w:sz="4" w:space="0" w:color="auto"/>
              <w:right w:val="single" w:sz="4" w:space="0" w:color="auto"/>
            </w:tcBorders>
            <w:noWrap/>
            <w:vAlign w:val="bottom"/>
            <w:hideMark/>
          </w:tcPr>
          <w:p w:rsidR="000D732C" w:rsidRDefault="000D732C">
            <w:pPr>
              <w:rPr>
                <w:rFonts w:ascii="Calibri" w:hAnsi="Calibri" w:cs="Calibri"/>
                <w:color w:val="000000"/>
              </w:rPr>
            </w:pPr>
            <w:r>
              <w:rPr>
                <w:rFonts w:ascii="Calibri" w:hAnsi="Calibri" w:cs="Calibri"/>
                <w:color w:val="000000"/>
                <w:sz w:val="22"/>
                <w:szCs w:val="22"/>
              </w:rPr>
              <w:t>высокая</w:t>
            </w:r>
          </w:p>
        </w:tc>
      </w:tr>
      <w:tr w:rsidR="000D732C" w:rsidTr="000D732C">
        <w:trPr>
          <w:trHeight w:val="300"/>
        </w:trPr>
        <w:tc>
          <w:tcPr>
            <w:tcW w:w="1680" w:type="dxa"/>
            <w:tcBorders>
              <w:top w:val="nil"/>
              <w:left w:val="single" w:sz="4" w:space="0" w:color="auto"/>
              <w:bottom w:val="single" w:sz="4" w:space="0" w:color="auto"/>
              <w:right w:val="single" w:sz="4" w:space="0" w:color="auto"/>
            </w:tcBorders>
            <w:noWrap/>
            <w:vAlign w:val="bottom"/>
            <w:hideMark/>
          </w:tcPr>
          <w:p w:rsidR="000D732C" w:rsidRDefault="000D732C">
            <w:pPr>
              <w:rPr>
                <w:rFonts w:ascii="Calibri" w:hAnsi="Calibri" w:cs="Calibri"/>
                <w:color w:val="000000"/>
              </w:rPr>
            </w:pPr>
            <w:r>
              <w:rPr>
                <w:rFonts w:ascii="Calibri" w:hAnsi="Calibri" w:cs="Calibri"/>
                <w:color w:val="000000"/>
                <w:sz w:val="22"/>
                <w:szCs w:val="22"/>
              </w:rPr>
              <w:t>низкая</w:t>
            </w:r>
          </w:p>
        </w:tc>
        <w:tc>
          <w:tcPr>
            <w:tcW w:w="903" w:type="dxa"/>
            <w:tcBorders>
              <w:top w:val="nil"/>
              <w:left w:val="nil"/>
              <w:bottom w:val="single" w:sz="4" w:space="0" w:color="auto"/>
              <w:right w:val="single" w:sz="4" w:space="0" w:color="auto"/>
            </w:tcBorders>
            <w:shd w:val="clear" w:color="auto" w:fill="92D050"/>
            <w:noWrap/>
            <w:vAlign w:val="bottom"/>
            <w:hideMark/>
          </w:tcPr>
          <w:p w:rsidR="000D732C" w:rsidRDefault="000D732C">
            <w:pPr>
              <w:rPr>
                <w:rFonts w:ascii="Calibri" w:hAnsi="Calibri" w:cs="Calibri"/>
                <w:color w:val="000000"/>
              </w:rPr>
            </w:pPr>
            <w:r>
              <w:rPr>
                <w:rFonts w:ascii="Calibri" w:hAnsi="Calibri" w:cs="Calibri"/>
                <w:color w:val="000000"/>
                <w:sz w:val="22"/>
                <w:szCs w:val="22"/>
              </w:rPr>
              <w:t>низкая</w:t>
            </w:r>
          </w:p>
        </w:tc>
        <w:tc>
          <w:tcPr>
            <w:tcW w:w="909" w:type="dxa"/>
            <w:tcBorders>
              <w:top w:val="nil"/>
              <w:left w:val="nil"/>
              <w:bottom w:val="single" w:sz="4" w:space="0" w:color="auto"/>
              <w:right w:val="single" w:sz="4" w:space="0" w:color="auto"/>
            </w:tcBorders>
            <w:shd w:val="clear" w:color="auto" w:fill="92D050"/>
            <w:noWrap/>
            <w:vAlign w:val="bottom"/>
            <w:hideMark/>
          </w:tcPr>
          <w:p w:rsidR="000D732C" w:rsidRDefault="000D732C">
            <w:pPr>
              <w:rPr>
                <w:rFonts w:ascii="Calibri" w:hAnsi="Calibri" w:cs="Calibri"/>
                <w:color w:val="000000"/>
              </w:rPr>
            </w:pPr>
            <w:r>
              <w:rPr>
                <w:rFonts w:ascii="Calibri" w:hAnsi="Calibri" w:cs="Calibri"/>
                <w:color w:val="000000"/>
                <w:sz w:val="22"/>
                <w:szCs w:val="22"/>
              </w:rPr>
              <w:t>низкая</w:t>
            </w:r>
          </w:p>
        </w:tc>
        <w:tc>
          <w:tcPr>
            <w:tcW w:w="909" w:type="dxa"/>
            <w:tcBorders>
              <w:top w:val="nil"/>
              <w:left w:val="nil"/>
              <w:bottom w:val="single" w:sz="4" w:space="0" w:color="auto"/>
              <w:right w:val="single" w:sz="4" w:space="0" w:color="auto"/>
            </w:tcBorders>
            <w:shd w:val="clear" w:color="auto" w:fill="FFFF00"/>
            <w:noWrap/>
            <w:vAlign w:val="bottom"/>
            <w:hideMark/>
          </w:tcPr>
          <w:p w:rsidR="000D732C" w:rsidRDefault="000D732C">
            <w:pPr>
              <w:rPr>
                <w:rFonts w:ascii="Calibri" w:hAnsi="Calibri" w:cs="Calibri"/>
                <w:color w:val="000000"/>
              </w:rPr>
            </w:pPr>
            <w:r>
              <w:rPr>
                <w:rFonts w:ascii="Calibri" w:hAnsi="Calibri" w:cs="Calibri"/>
                <w:color w:val="000000"/>
                <w:sz w:val="22"/>
                <w:szCs w:val="22"/>
              </w:rPr>
              <w:t>средняя</w:t>
            </w:r>
          </w:p>
        </w:tc>
      </w:tr>
      <w:tr w:rsidR="000D732C" w:rsidTr="000D732C">
        <w:trPr>
          <w:trHeight w:val="300"/>
        </w:trPr>
        <w:tc>
          <w:tcPr>
            <w:tcW w:w="1680" w:type="dxa"/>
            <w:tcBorders>
              <w:top w:val="nil"/>
              <w:left w:val="single" w:sz="4" w:space="0" w:color="auto"/>
              <w:bottom w:val="single" w:sz="4" w:space="0" w:color="auto"/>
              <w:right w:val="single" w:sz="4" w:space="0" w:color="auto"/>
            </w:tcBorders>
            <w:noWrap/>
            <w:vAlign w:val="bottom"/>
            <w:hideMark/>
          </w:tcPr>
          <w:p w:rsidR="000D732C" w:rsidRDefault="000D732C">
            <w:pPr>
              <w:rPr>
                <w:rFonts w:ascii="Calibri" w:hAnsi="Calibri" w:cs="Calibri"/>
                <w:color w:val="000000"/>
              </w:rPr>
            </w:pPr>
            <w:r>
              <w:rPr>
                <w:rFonts w:ascii="Calibri" w:hAnsi="Calibri" w:cs="Calibri"/>
                <w:color w:val="000000"/>
                <w:sz w:val="22"/>
                <w:szCs w:val="22"/>
              </w:rPr>
              <w:t>средняя</w:t>
            </w:r>
          </w:p>
        </w:tc>
        <w:tc>
          <w:tcPr>
            <w:tcW w:w="903" w:type="dxa"/>
            <w:tcBorders>
              <w:top w:val="nil"/>
              <w:left w:val="nil"/>
              <w:bottom w:val="single" w:sz="4" w:space="0" w:color="auto"/>
              <w:right w:val="single" w:sz="4" w:space="0" w:color="auto"/>
            </w:tcBorders>
            <w:shd w:val="clear" w:color="auto" w:fill="92D050"/>
            <w:noWrap/>
            <w:vAlign w:val="bottom"/>
            <w:hideMark/>
          </w:tcPr>
          <w:p w:rsidR="000D732C" w:rsidRDefault="000D732C">
            <w:pPr>
              <w:rPr>
                <w:rFonts w:ascii="Calibri" w:hAnsi="Calibri" w:cs="Calibri"/>
                <w:color w:val="000000"/>
              </w:rPr>
            </w:pPr>
            <w:r>
              <w:rPr>
                <w:rFonts w:ascii="Calibri" w:hAnsi="Calibri" w:cs="Calibri"/>
                <w:color w:val="000000"/>
                <w:sz w:val="22"/>
                <w:szCs w:val="22"/>
              </w:rPr>
              <w:t>низкая</w:t>
            </w:r>
          </w:p>
        </w:tc>
        <w:tc>
          <w:tcPr>
            <w:tcW w:w="909" w:type="dxa"/>
            <w:tcBorders>
              <w:top w:val="nil"/>
              <w:left w:val="nil"/>
              <w:bottom w:val="single" w:sz="4" w:space="0" w:color="auto"/>
              <w:right w:val="single" w:sz="4" w:space="0" w:color="auto"/>
            </w:tcBorders>
            <w:shd w:val="clear" w:color="auto" w:fill="FFFF00"/>
            <w:noWrap/>
            <w:vAlign w:val="bottom"/>
            <w:hideMark/>
          </w:tcPr>
          <w:p w:rsidR="000D732C" w:rsidRDefault="000D732C">
            <w:pPr>
              <w:rPr>
                <w:rFonts w:ascii="Calibri" w:hAnsi="Calibri" w:cs="Calibri"/>
                <w:color w:val="000000"/>
              </w:rPr>
            </w:pPr>
            <w:r>
              <w:rPr>
                <w:rFonts w:ascii="Calibri" w:hAnsi="Calibri" w:cs="Calibri"/>
                <w:color w:val="000000"/>
                <w:sz w:val="22"/>
                <w:szCs w:val="22"/>
              </w:rPr>
              <w:t>средняя</w:t>
            </w:r>
          </w:p>
        </w:tc>
        <w:tc>
          <w:tcPr>
            <w:tcW w:w="909" w:type="dxa"/>
            <w:tcBorders>
              <w:top w:val="nil"/>
              <w:left w:val="nil"/>
              <w:bottom w:val="single" w:sz="4" w:space="0" w:color="auto"/>
              <w:right w:val="single" w:sz="4" w:space="0" w:color="auto"/>
            </w:tcBorders>
            <w:shd w:val="clear" w:color="auto" w:fill="FF0000"/>
            <w:noWrap/>
            <w:vAlign w:val="bottom"/>
            <w:hideMark/>
          </w:tcPr>
          <w:p w:rsidR="000D732C" w:rsidRDefault="000D732C">
            <w:pPr>
              <w:rPr>
                <w:rFonts w:ascii="Calibri" w:hAnsi="Calibri" w:cs="Calibri"/>
                <w:color w:val="000000"/>
              </w:rPr>
            </w:pPr>
            <w:r>
              <w:rPr>
                <w:rFonts w:ascii="Calibri" w:hAnsi="Calibri" w:cs="Calibri"/>
                <w:color w:val="000000"/>
                <w:sz w:val="22"/>
                <w:szCs w:val="22"/>
              </w:rPr>
              <w:t>высокая</w:t>
            </w:r>
          </w:p>
        </w:tc>
      </w:tr>
      <w:tr w:rsidR="000D732C" w:rsidTr="000D732C">
        <w:trPr>
          <w:trHeight w:val="300"/>
        </w:trPr>
        <w:tc>
          <w:tcPr>
            <w:tcW w:w="1680" w:type="dxa"/>
            <w:tcBorders>
              <w:top w:val="nil"/>
              <w:left w:val="single" w:sz="4" w:space="0" w:color="auto"/>
              <w:bottom w:val="single" w:sz="4" w:space="0" w:color="auto"/>
              <w:right w:val="single" w:sz="4" w:space="0" w:color="auto"/>
            </w:tcBorders>
            <w:noWrap/>
            <w:vAlign w:val="bottom"/>
            <w:hideMark/>
          </w:tcPr>
          <w:p w:rsidR="000D732C" w:rsidRDefault="000D732C">
            <w:pPr>
              <w:rPr>
                <w:rFonts w:ascii="Calibri" w:hAnsi="Calibri" w:cs="Calibri"/>
                <w:color w:val="000000"/>
              </w:rPr>
            </w:pPr>
            <w:r>
              <w:rPr>
                <w:rFonts w:ascii="Calibri" w:hAnsi="Calibri" w:cs="Calibri"/>
                <w:color w:val="000000"/>
                <w:sz w:val="22"/>
                <w:szCs w:val="22"/>
              </w:rPr>
              <w:t>высокая</w:t>
            </w:r>
          </w:p>
        </w:tc>
        <w:tc>
          <w:tcPr>
            <w:tcW w:w="903" w:type="dxa"/>
            <w:tcBorders>
              <w:top w:val="nil"/>
              <w:left w:val="nil"/>
              <w:bottom w:val="single" w:sz="4" w:space="0" w:color="auto"/>
              <w:right w:val="single" w:sz="4" w:space="0" w:color="auto"/>
            </w:tcBorders>
            <w:shd w:val="clear" w:color="auto" w:fill="FFFF00"/>
            <w:noWrap/>
            <w:vAlign w:val="bottom"/>
            <w:hideMark/>
          </w:tcPr>
          <w:p w:rsidR="000D732C" w:rsidRDefault="000D732C">
            <w:pPr>
              <w:rPr>
                <w:rFonts w:ascii="Calibri" w:hAnsi="Calibri" w:cs="Calibri"/>
                <w:color w:val="000000"/>
              </w:rPr>
            </w:pPr>
            <w:r>
              <w:rPr>
                <w:rFonts w:ascii="Calibri" w:hAnsi="Calibri" w:cs="Calibri"/>
                <w:color w:val="000000"/>
                <w:sz w:val="22"/>
                <w:szCs w:val="22"/>
              </w:rPr>
              <w:t>средняя</w:t>
            </w:r>
          </w:p>
        </w:tc>
        <w:tc>
          <w:tcPr>
            <w:tcW w:w="909" w:type="dxa"/>
            <w:tcBorders>
              <w:top w:val="nil"/>
              <w:left w:val="nil"/>
              <w:bottom w:val="single" w:sz="4" w:space="0" w:color="auto"/>
              <w:right w:val="single" w:sz="4" w:space="0" w:color="auto"/>
            </w:tcBorders>
            <w:shd w:val="clear" w:color="auto" w:fill="FF0000"/>
            <w:noWrap/>
            <w:vAlign w:val="bottom"/>
            <w:hideMark/>
          </w:tcPr>
          <w:p w:rsidR="000D732C" w:rsidRDefault="000D732C">
            <w:pPr>
              <w:rPr>
                <w:rFonts w:ascii="Calibri" w:hAnsi="Calibri" w:cs="Calibri"/>
                <w:color w:val="000000"/>
              </w:rPr>
            </w:pPr>
            <w:r>
              <w:rPr>
                <w:rFonts w:ascii="Calibri" w:hAnsi="Calibri" w:cs="Calibri"/>
                <w:color w:val="000000"/>
                <w:sz w:val="22"/>
                <w:szCs w:val="22"/>
              </w:rPr>
              <w:t>высокая</w:t>
            </w:r>
          </w:p>
        </w:tc>
        <w:tc>
          <w:tcPr>
            <w:tcW w:w="909" w:type="dxa"/>
            <w:tcBorders>
              <w:top w:val="nil"/>
              <w:left w:val="nil"/>
              <w:bottom w:val="single" w:sz="4" w:space="0" w:color="auto"/>
              <w:right w:val="single" w:sz="4" w:space="0" w:color="auto"/>
            </w:tcBorders>
            <w:shd w:val="clear" w:color="auto" w:fill="FF0000"/>
            <w:noWrap/>
            <w:vAlign w:val="bottom"/>
            <w:hideMark/>
          </w:tcPr>
          <w:p w:rsidR="000D732C" w:rsidRDefault="000D732C">
            <w:pPr>
              <w:rPr>
                <w:rFonts w:ascii="Calibri" w:hAnsi="Calibri" w:cs="Calibri"/>
                <w:color w:val="000000"/>
              </w:rPr>
            </w:pPr>
            <w:r>
              <w:rPr>
                <w:rFonts w:ascii="Calibri" w:hAnsi="Calibri" w:cs="Calibri"/>
                <w:color w:val="000000"/>
                <w:sz w:val="22"/>
                <w:szCs w:val="22"/>
              </w:rPr>
              <w:t>высокая</w:t>
            </w:r>
          </w:p>
        </w:tc>
      </w:tr>
    </w:tbl>
    <w:p w:rsidR="000D732C" w:rsidRDefault="000D732C" w:rsidP="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iCs/>
        </w:rPr>
      </w:pPr>
    </w:p>
    <w:p w:rsidR="00506C8F" w:rsidRDefault="00506C8F">
      <w:bookmarkStart w:id="64" w:name="_GoBack"/>
      <w:bookmarkEnd w:id="64"/>
    </w:p>
    <w:sectPr w:rsidR="00506C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59" w:rsidRDefault="009D3159" w:rsidP="000D732C">
      <w:r>
        <w:separator/>
      </w:r>
    </w:p>
  </w:endnote>
  <w:endnote w:type="continuationSeparator" w:id="0">
    <w:p w:rsidR="009D3159" w:rsidRDefault="009D3159" w:rsidP="000D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59" w:rsidRDefault="009D3159" w:rsidP="000D732C">
      <w:r>
        <w:separator/>
      </w:r>
    </w:p>
  </w:footnote>
  <w:footnote w:type="continuationSeparator" w:id="0">
    <w:p w:rsidR="009D3159" w:rsidRDefault="009D3159" w:rsidP="000D732C">
      <w:r>
        <w:continuationSeparator/>
      </w:r>
    </w:p>
  </w:footnote>
  <w:footnote w:id="1">
    <w:p w:rsidR="000D732C" w:rsidRDefault="000D732C" w:rsidP="000D732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 w:id="2">
    <w:p w:rsidR="000D732C" w:rsidRDefault="000D732C" w:rsidP="000D732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4BC3"/>
    <w:multiLevelType w:val="hybridMultilevel"/>
    <w:tmpl w:val="951E2A0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
    <w:nsid w:val="136B1C76"/>
    <w:multiLevelType w:val="hybridMultilevel"/>
    <w:tmpl w:val="725EF5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C0D65A7"/>
    <w:multiLevelType w:val="multilevel"/>
    <w:tmpl w:val="0E369B46"/>
    <w:lvl w:ilvl="0">
      <w:start w:val="3"/>
      <w:numFmt w:val="decimal"/>
      <w:lvlText w:val="%1."/>
      <w:lvlJc w:val="left"/>
      <w:pPr>
        <w:tabs>
          <w:tab w:val="num" w:pos="420"/>
        </w:tabs>
        <w:ind w:left="420" w:hanging="420"/>
      </w:pPr>
      <w:rPr>
        <w:rFonts w:cs="Times New Roman"/>
      </w:rPr>
    </w:lvl>
    <w:lvl w:ilvl="1">
      <w:start w:val="1"/>
      <w:numFmt w:val="decimal"/>
      <w:pStyle w:val="7"/>
      <w:lvlText w:val="%1.%2."/>
      <w:lvlJc w:val="left"/>
      <w:pPr>
        <w:tabs>
          <w:tab w:val="num" w:pos="1500"/>
        </w:tabs>
        <w:ind w:left="1500" w:hanging="42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3">
    <w:nsid w:val="1CF643AB"/>
    <w:multiLevelType w:val="multilevel"/>
    <w:tmpl w:val="553A0C3A"/>
    <w:lvl w:ilvl="0">
      <w:start w:val="1"/>
      <w:numFmt w:val="decimal"/>
      <w:pStyle w:val="1"/>
      <w:lvlText w:val="%1."/>
      <w:lvlJc w:val="left"/>
      <w:pPr>
        <w:tabs>
          <w:tab w:val="num" w:pos="1440"/>
        </w:tabs>
        <w:ind w:left="1440" w:hanging="360"/>
      </w:pPr>
      <w:rPr>
        <w:rFonts w:cs="Times New Roman"/>
        <w:b/>
        <w:i w:val="0"/>
      </w:rPr>
    </w:lvl>
    <w:lvl w:ilvl="1">
      <w:start w:val="1"/>
      <w:numFmt w:val="decimal"/>
      <w:lvlText w:val="%1.%2."/>
      <w:lvlJc w:val="left"/>
      <w:pPr>
        <w:tabs>
          <w:tab w:val="num" w:pos="1872"/>
        </w:tabs>
        <w:ind w:left="1872" w:hanging="432"/>
      </w:pPr>
      <w:rPr>
        <w:rFonts w:cs="Times New Roman"/>
      </w:rPr>
    </w:lvl>
    <w:lvl w:ilvl="2">
      <w:start w:val="1"/>
      <w:numFmt w:val="decimal"/>
      <w:lvlText w:val="%1.%2.%3"/>
      <w:lvlJc w:val="left"/>
      <w:pPr>
        <w:tabs>
          <w:tab w:val="num" w:pos="2304"/>
        </w:tabs>
        <w:ind w:left="2304" w:hanging="504"/>
      </w:pPr>
      <w:rPr>
        <w:rFonts w:cs="Times New Roman"/>
      </w:rPr>
    </w:lvl>
    <w:lvl w:ilvl="3">
      <w:start w:val="1"/>
      <w:numFmt w:val="decimal"/>
      <w:lvlText w:val="%1.%2.%3.%4."/>
      <w:lvlJc w:val="left"/>
      <w:pPr>
        <w:tabs>
          <w:tab w:val="num" w:pos="2880"/>
        </w:tabs>
        <w:ind w:left="2808" w:hanging="648"/>
      </w:pPr>
      <w:rPr>
        <w:rFonts w:cs="Times New Roman"/>
      </w:rPr>
    </w:lvl>
    <w:lvl w:ilvl="4">
      <w:start w:val="1"/>
      <w:numFmt w:val="decimal"/>
      <w:lvlText w:val="%1.%2.%3.%4.%5."/>
      <w:lvlJc w:val="left"/>
      <w:pPr>
        <w:tabs>
          <w:tab w:val="num" w:pos="3600"/>
        </w:tabs>
        <w:ind w:left="3312" w:hanging="792"/>
      </w:pPr>
      <w:rPr>
        <w:rFonts w:cs="Times New Roman"/>
      </w:rPr>
    </w:lvl>
    <w:lvl w:ilvl="5">
      <w:start w:val="1"/>
      <w:numFmt w:val="decimal"/>
      <w:lvlText w:val="%1.%2.%3.%4.%5.%6."/>
      <w:lvlJc w:val="left"/>
      <w:pPr>
        <w:tabs>
          <w:tab w:val="num" w:pos="3960"/>
        </w:tabs>
        <w:ind w:left="3816" w:hanging="936"/>
      </w:pPr>
      <w:rPr>
        <w:rFonts w:cs="Times New Roman"/>
      </w:rPr>
    </w:lvl>
    <w:lvl w:ilvl="6">
      <w:start w:val="1"/>
      <w:numFmt w:val="decimal"/>
      <w:lvlText w:val="%1.%2.%3.%4.%5.%6.%7."/>
      <w:lvlJc w:val="left"/>
      <w:pPr>
        <w:tabs>
          <w:tab w:val="num" w:pos="4680"/>
        </w:tabs>
        <w:ind w:left="4320" w:hanging="1080"/>
      </w:pPr>
      <w:rPr>
        <w:rFonts w:cs="Times New Roman"/>
      </w:rPr>
    </w:lvl>
    <w:lvl w:ilvl="7">
      <w:start w:val="1"/>
      <w:numFmt w:val="decimal"/>
      <w:lvlText w:val="%1.%2.%3.%4.%5.%6.%7.%8."/>
      <w:lvlJc w:val="left"/>
      <w:pPr>
        <w:tabs>
          <w:tab w:val="num" w:pos="5040"/>
        </w:tabs>
        <w:ind w:left="4824" w:hanging="1224"/>
      </w:pPr>
      <w:rPr>
        <w:rFonts w:cs="Times New Roman"/>
      </w:rPr>
    </w:lvl>
    <w:lvl w:ilvl="8">
      <w:start w:val="1"/>
      <w:numFmt w:val="decimal"/>
      <w:lvlText w:val="%1.%2.%3.%4.%5.%6.%7.%8.%9."/>
      <w:lvlJc w:val="left"/>
      <w:pPr>
        <w:tabs>
          <w:tab w:val="num" w:pos="5760"/>
        </w:tabs>
        <w:ind w:left="5400" w:hanging="1440"/>
      </w:pPr>
      <w:rPr>
        <w:rFonts w:cs="Times New Roman"/>
      </w:rPr>
    </w:lvl>
  </w:abstractNum>
  <w:abstractNum w:abstractNumId="4">
    <w:nsid w:val="28C12C43"/>
    <w:multiLevelType w:val="multilevel"/>
    <w:tmpl w:val="183E88BA"/>
    <w:lvl w:ilvl="0">
      <w:start w:val="1"/>
      <w:numFmt w:val="bullet"/>
      <w:pStyle w:val="a"/>
      <w:lvlText w:val=""/>
      <w:lvlJc w:val="left"/>
      <w:pPr>
        <w:tabs>
          <w:tab w:val="num" w:pos="2520"/>
        </w:tabs>
        <w:ind w:left="2520" w:hanging="360"/>
      </w:pPr>
      <w:rPr>
        <w:rFonts w:ascii="Wingdings" w:hAnsi="Wingdings" w:hint="default"/>
      </w:rPr>
    </w:lvl>
    <w:lvl w:ilvl="1">
      <w:start w:val="1"/>
      <w:numFmt w:val="decimal"/>
      <w:lvlText w:val="%2."/>
      <w:lvlJc w:val="left"/>
      <w:pPr>
        <w:tabs>
          <w:tab w:val="num" w:pos="1457"/>
        </w:tabs>
        <w:ind w:left="1457" w:hanging="737"/>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rPr>
    </w:lvl>
    <w:lvl w:ilvl="2">
      <w:start w:val="1"/>
      <w:numFmt w:val="decimal"/>
      <w:lvlText w:val="%2.%3."/>
      <w:lvlJc w:val="left"/>
      <w:pPr>
        <w:tabs>
          <w:tab w:val="num" w:pos="2160"/>
        </w:tabs>
        <w:ind w:left="21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3">
      <w:start w:val="1"/>
      <w:numFmt w:val="decimal"/>
      <w:lvlText w:val="%2.%3.%4."/>
      <w:lvlJc w:val="left"/>
      <w:pPr>
        <w:tabs>
          <w:tab w:val="num" w:pos="2880"/>
        </w:tabs>
        <w:ind w:left="2880" w:hanging="720"/>
      </w:pPr>
      <w:rPr>
        <w:rFonts w:ascii="Times New Roman" w:hAnsi="Times New Roman" w:cs="Times New Roman" w:hint="default"/>
        <w:b w:val="0"/>
        <w:i w:val="0"/>
        <w:sz w:val="24"/>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2CF7341A"/>
    <w:multiLevelType w:val="hybridMultilevel"/>
    <w:tmpl w:val="725EF5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D067609"/>
    <w:multiLevelType w:val="multilevel"/>
    <w:tmpl w:val="F0F21AA2"/>
    <w:lvl w:ilvl="0">
      <w:start w:val="4"/>
      <w:numFmt w:val="decimal"/>
      <w:lvlText w:val="%1."/>
      <w:lvlJc w:val="left"/>
      <w:pPr>
        <w:tabs>
          <w:tab w:val="num" w:pos="624"/>
        </w:tabs>
        <w:ind w:left="624" w:hanging="624"/>
      </w:pPr>
      <w:rPr>
        <w:rFonts w:cs="Times New Roman"/>
        <w:b w:val="0"/>
        <w:i w:val="0"/>
        <w:sz w:val="20"/>
      </w:rPr>
    </w:lvl>
    <w:lvl w:ilvl="1">
      <w:start w:val="1"/>
      <w:numFmt w:val="decimal"/>
      <w:pStyle w:val="2"/>
      <w:lvlText w:val="%1.%2"/>
      <w:lvlJc w:val="left"/>
      <w:pPr>
        <w:tabs>
          <w:tab w:val="num" w:pos="624"/>
        </w:tabs>
        <w:ind w:left="624" w:hanging="624"/>
      </w:pPr>
      <w:rPr>
        <w:rFonts w:cs="Times New Roman"/>
        <w:b w:val="0"/>
        <w:i w:val="0"/>
        <w:sz w:val="20"/>
      </w:rPr>
    </w:lvl>
    <w:lvl w:ilvl="2">
      <w:start w:val="1"/>
      <w:numFmt w:val="decimal"/>
      <w:pStyle w:val="3"/>
      <w:lvlText w:val="%1.%2.%3"/>
      <w:lvlJc w:val="left"/>
      <w:pPr>
        <w:tabs>
          <w:tab w:val="num" w:pos="1417"/>
        </w:tabs>
        <w:ind w:left="1417" w:hanging="793"/>
      </w:pPr>
      <w:rPr>
        <w:rFonts w:cs="Times New Roman"/>
        <w:b w:val="0"/>
        <w:i w:val="0"/>
        <w:sz w:val="18"/>
      </w:rPr>
    </w:lvl>
    <w:lvl w:ilvl="3">
      <w:start w:val="1"/>
      <w:numFmt w:val="lowerLetter"/>
      <w:pStyle w:val="4"/>
      <w:lvlText w:val="(%4)"/>
      <w:lvlJc w:val="left"/>
      <w:pPr>
        <w:tabs>
          <w:tab w:val="num" w:pos="1928"/>
        </w:tabs>
        <w:ind w:left="1928" w:hanging="511"/>
      </w:pPr>
      <w:rPr>
        <w:rFonts w:cs="Times New Roman"/>
        <w:b w:val="0"/>
        <w:i w:val="0"/>
        <w:sz w:val="20"/>
      </w:rPr>
    </w:lvl>
    <w:lvl w:ilvl="4">
      <w:start w:val="1"/>
      <w:numFmt w:val="lowerRoman"/>
      <w:pStyle w:val="5"/>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decimal"/>
      <w:lvlRestart w:val="0"/>
      <w:pStyle w:val="9"/>
      <w:lvlText w:val="SCHEDULE %9"/>
      <w:lvlJc w:val="left"/>
      <w:pPr>
        <w:tabs>
          <w:tab w:val="num" w:pos="0"/>
        </w:tabs>
        <w:ind w:left="0" w:firstLine="0"/>
      </w:pPr>
      <w:rPr>
        <w:rFonts w:cs="Times New Roman"/>
        <w:b/>
        <w:i w:val="0"/>
        <w:caps/>
        <w:smallCaps w:val="0"/>
        <w:sz w:val="22"/>
      </w:rPr>
    </w:lvl>
  </w:abstractNum>
  <w:abstractNum w:abstractNumId="7">
    <w:nsid w:val="34347A91"/>
    <w:multiLevelType w:val="hybridMultilevel"/>
    <w:tmpl w:val="725EF5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C507E1C"/>
    <w:multiLevelType w:val="hybridMultilevel"/>
    <w:tmpl w:val="725EF5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D5F1B35"/>
    <w:multiLevelType w:val="hybridMultilevel"/>
    <w:tmpl w:val="DEC8455C"/>
    <w:lvl w:ilvl="0" w:tplc="6FB6F7E0">
      <w:start w:val="1"/>
      <w:numFmt w:val="bullet"/>
      <w:lvlText w:val=""/>
      <w:lvlJc w:val="left"/>
      <w:pPr>
        <w:tabs>
          <w:tab w:val="num" w:pos="720"/>
        </w:tabs>
        <w:ind w:left="720" w:hanging="360"/>
      </w:pPr>
      <w:rPr>
        <w:rFonts w:ascii="Wingdings" w:hAnsi="Wingdings" w:hint="default"/>
      </w:rPr>
    </w:lvl>
    <w:lvl w:ilvl="1" w:tplc="4E50EC4A">
      <w:start w:val="1"/>
      <w:numFmt w:val="bullet"/>
      <w:pStyle w:val="a0"/>
      <w:lvlText w:val=""/>
      <w:lvlJc w:val="left"/>
      <w:pPr>
        <w:tabs>
          <w:tab w:val="num" w:pos="1440"/>
        </w:tabs>
        <w:ind w:left="1440" w:hanging="360"/>
      </w:pPr>
      <w:rPr>
        <w:rFonts w:ascii="Wingdings" w:hAnsi="Wingdings" w:hint="default"/>
      </w:rPr>
    </w:lvl>
    <w:lvl w:ilvl="2" w:tplc="A69AEC7E">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F8B798E"/>
    <w:multiLevelType w:val="hybridMultilevel"/>
    <w:tmpl w:val="725EF5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4FC289A"/>
    <w:multiLevelType w:val="multilevel"/>
    <w:tmpl w:val="94C4A2DE"/>
    <w:lvl w:ilvl="0">
      <w:start w:val="1"/>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4A393C6C"/>
    <w:multiLevelType w:val="hybridMultilevel"/>
    <w:tmpl w:val="725EF5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5C122D0"/>
    <w:multiLevelType w:val="hybridMultilevel"/>
    <w:tmpl w:val="1A70AB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55D45C8A"/>
    <w:multiLevelType w:val="hybridMultilevel"/>
    <w:tmpl w:val="D5BC1B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5BEA6D9E"/>
    <w:multiLevelType w:val="singleLevel"/>
    <w:tmpl w:val="A54825FA"/>
    <w:lvl w:ilvl="0">
      <w:start w:val="1"/>
      <w:numFmt w:val="bullet"/>
      <w:pStyle w:val="20"/>
      <w:lvlText w:val=""/>
      <w:lvlJc w:val="left"/>
      <w:pPr>
        <w:tabs>
          <w:tab w:val="num" w:pos="1069"/>
        </w:tabs>
        <w:ind w:left="1021" w:hanging="312"/>
      </w:pPr>
      <w:rPr>
        <w:rFonts w:ascii="Symbol" w:hAnsi="Symbol" w:hint="default"/>
      </w:rPr>
    </w:lvl>
  </w:abstractNum>
  <w:abstractNum w:abstractNumId="16">
    <w:nsid w:val="60FD1ACA"/>
    <w:multiLevelType w:val="multilevel"/>
    <w:tmpl w:val="18501CAC"/>
    <w:lvl w:ilvl="0">
      <w:start w:val="6"/>
      <w:numFmt w:val="decimal"/>
      <w:lvlText w:val="%1."/>
      <w:lvlJc w:val="left"/>
      <w:pPr>
        <w:tabs>
          <w:tab w:val="num" w:pos="777"/>
        </w:tabs>
        <w:ind w:left="777" w:hanging="420"/>
      </w:pPr>
      <w:rPr>
        <w:rFonts w:cs="Times New Roman"/>
      </w:rPr>
    </w:lvl>
    <w:lvl w:ilvl="1">
      <w:start w:val="1"/>
      <w:numFmt w:val="decimal"/>
      <w:lvlText w:val="%1.%2."/>
      <w:lvlJc w:val="left"/>
      <w:pPr>
        <w:tabs>
          <w:tab w:val="num" w:pos="1857"/>
        </w:tabs>
        <w:ind w:left="1857" w:hanging="420"/>
      </w:pPr>
      <w:rPr>
        <w:rFonts w:cs="Times New Roman"/>
      </w:rPr>
    </w:lvl>
    <w:lvl w:ilvl="2">
      <w:start w:val="1"/>
      <w:numFmt w:val="decimal"/>
      <w:pStyle w:val="6"/>
      <w:lvlText w:val="%1.%2.%3."/>
      <w:lvlJc w:val="left"/>
      <w:pPr>
        <w:tabs>
          <w:tab w:val="num" w:pos="2880"/>
        </w:tabs>
        <w:ind w:left="2880" w:hanging="720"/>
      </w:pPr>
      <w:rPr>
        <w:rFonts w:cs="Times New Roman"/>
      </w:rPr>
    </w:lvl>
    <w:lvl w:ilvl="3">
      <w:start w:val="1"/>
      <w:numFmt w:val="decimal"/>
      <w:lvlText w:val="%1.%2.%3.%4."/>
      <w:lvlJc w:val="left"/>
      <w:pPr>
        <w:tabs>
          <w:tab w:val="num" w:pos="4317"/>
        </w:tabs>
        <w:ind w:left="4317" w:hanging="720"/>
      </w:pPr>
      <w:rPr>
        <w:rFonts w:cs="Times New Roman"/>
      </w:rPr>
    </w:lvl>
    <w:lvl w:ilvl="4">
      <w:start w:val="1"/>
      <w:numFmt w:val="decimal"/>
      <w:lvlText w:val="%1.%2.%3.%4.%5."/>
      <w:lvlJc w:val="left"/>
      <w:pPr>
        <w:tabs>
          <w:tab w:val="num" w:pos="5757"/>
        </w:tabs>
        <w:ind w:left="5757" w:hanging="1080"/>
      </w:pPr>
      <w:rPr>
        <w:rFonts w:cs="Times New Roman"/>
      </w:rPr>
    </w:lvl>
    <w:lvl w:ilvl="5">
      <w:start w:val="1"/>
      <w:numFmt w:val="decimal"/>
      <w:lvlText w:val="%1.%2.%3.%4.%5.%6."/>
      <w:lvlJc w:val="left"/>
      <w:pPr>
        <w:tabs>
          <w:tab w:val="num" w:pos="6837"/>
        </w:tabs>
        <w:ind w:left="6837" w:hanging="1080"/>
      </w:pPr>
      <w:rPr>
        <w:rFonts w:cs="Times New Roman"/>
      </w:rPr>
    </w:lvl>
    <w:lvl w:ilvl="6">
      <w:start w:val="1"/>
      <w:numFmt w:val="decimal"/>
      <w:lvlText w:val="%1.%2.%3.%4.%5.%6.%7."/>
      <w:lvlJc w:val="left"/>
      <w:pPr>
        <w:tabs>
          <w:tab w:val="num" w:pos="8277"/>
        </w:tabs>
        <w:ind w:left="8277" w:hanging="1440"/>
      </w:pPr>
      <w:rPr>
        <w:rFonts w:cs="Times New Roman"/>
      </w:rPr>
    </w:lvl>
    <w:lvl w:ilvl="7">
      <w:start w:val="1"/>
      <w:numFmt w:val="decimal"/>
      <w:lvlText w:val="%1.%2.%3.%4.%5.%6.%7.%8."/>
      <w:lvlJc w:val="left"/>
      <w:pPr>
        <w:tabs>
          <w:tab w:val="num" w:pos="9357"/>
        </w:tabs>
        <w:ind w:left="9357" w:hanging="1440"/>
      </w:pPr>
      <w:rPr>
        <w:rFonts w:cs="Times New Roman"/>
      </w:rPr>
    </w:lvl>
    <w:lvl w:ilvl="8">
      <w:start w:val="1"/>
      <w:numFmt w:val="decimal"/>
      <w:lvlText w:val="%1.%2.%3.%4.%5.%6.%7.%8.%9."/>
      <w:lvlJc w:val="left"/>
      <w:pPr>
        <w:tabs>
          <w:tab w:val="num" w:pos="10797"/>
        </w:tabs>
        <w:ind w:left="10797" w:hanging="1800"/>
      </w:pPr>
      <w:rPr>
        <w:rFonts w:cs="Times New Roman"/>
      </w:rPr>
    </w:lvl>
  </w:abstractNum>
  <w:abstractNum w:abstractNumId="17">
    <w:nsid w:val="64E26C26"/>
    <w:multiLevelType w:val="hybridMultilevel"/>
    <w:tmpl w:val="45F893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686D6048"/>
    <w:multiLevelType w:val="multilevel"/>
    <w:tmpl w:val="B14AE11A"/>
    <w:lvl w:ilvl="0">
      <w:start w:val="1"/>
      <w:numFmt w:val="upperRoman"/>
      <w:pStyle w:val="a1"/>
      <w:lvlText w:val="%1."/>
      <w:lvlJc w:val="left"/>
      <w:pPr>
        <w:tabs>
          <w:tab w:val="num" w:pos="720"/>
        </w:tabs>
        <w:ind w:left="420" w:hanging="420"/>
      </w:pPr>
      <w:rPr>
        <w:rFonts w:ascii="Times New Roman" w:hAnsi="Times New Roman" w:cs="Times New Roman" w:hint="default"/>
        <w:b/>
        <w:i w:val="0"/>
        <w:caps/>
        <w:strike w:val="0"/>
        <w:dstrike w:val="0"/>
        <w:vanish w:val="0"/>
        <w:webHidden w:val="0"/>
        <w:color w:val="000000"/>
        <w:sz w:val="28"/>
        <w:u w:val="none"/>
        <w:effect w:val="none"/>
        <w:vertAlign w:val="baseline"/>
        <w:specVanish w:val="0"/>
      </w:rPr>
    </w:lvl>
    <w:lvl w:ilvl="1">
      <w:start w:val="1"/>
      <w:numFmt w:val="decimal"/>
      <w:lvlText w:val="%2."/>
      <w:lvlJc w:val="left"/>
      <w:pPr>
        <w:tabs>
          <w:tab w:val="num" w:pos="1457"/>
        </w:tabs>
        <w:ind w:left="1457" w:hanging="737"/>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rPr>
    </w:lvl>
    <w:lvl w:ilvl="2">
      <w:start w:val="1"/>
      <w:numFmt w:val="decimal"/>
      <w:lvlText w:val="%2.%3."/>
      <w:lvlJc w:val="left"/>
      <w:pPr>
        <w:tabs>
          <w:tab w:val="num" w:pos="2160"/>
        </w:tabs>
        <w:ind w:left="21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3">
      <w:start w:val="1"/>
      <w:numFmt w:val="decimal"/>
      <w:lvlText w:val="%2.%3.%4."/>
      <w:lvlJc w:val="left"/>
      <w:pPr>
        <w:tabs>
          <w:tab w:val="num" w:pos="2880"/>
        </w:tabs>
        <w:ind w:left="2880" w:hanging="720"/>
      </w:pPr>
      <w:rPr>
        <w:rFonts w:ascii="Times New Roman" w:hAnsi="Times New Roman" w:cs="Times New Roman" w:hint="default"/>
        <w:b w:val="0"/>
        <w:i w:val="0"/>
        <w:sz w:val="24"/>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9">
    <w:nsid w:val="6C7D4529"/>
    <w:multiLevelType w:val="hybridMultilevel"/>
    <w:tmpl w:val="D5D6EF48"/>
    <w:lvl w:ilvl="0" w:tplc="E19A4CA4">
      <w:start w:val="1"/>
      <w:numFmt w:val="decimal"/>
      <w:lvlText w:val="%1."/>
      <w:lvlJc w:val="left"/>
      <w:pPr>
        <w:ind w:left="757" w:hanging="360"/>
      </w:pPr>
      <w:rPr>
        <w:rFonts w:cs="Times New Roman"/>
      </w:rPr>
    </w:lvl>
    <w:lvl w:ilvl="1" w:tplc="04190019">
      <w:start w:val="1"/>
      <w:numFmt w:val="lowerLetter"/>
      <w:lvlText w:val="%2."/>
      <w:lvlJc w:val="left"/>
      <w:pPr>
        <w:ind w:left="1477" w:hanging="360"/>
      </w:pPr>
      <w:rPr>
        <w:rFonts w:cs="Times New Roman"/>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20">
    <w:nsid w:val="6D104BCE"/>
    <w:multiLevelType w:val="multilevel"/>
    <w:tmpl w:val="473A0344"/>
    <w:lvl w:ilvl="0">
      <w:start w:val="6"/>
      <w:numFmt w:val="decimal"/>
      <w:lvlText w:val="%1."/>
      <w:lvlJc w:val="left"/>
      <w:pPr>
        <w:tabs>
          <w:tab w:val="num" w:pos="777"/>
        </w:tabs>
        <w:ind w:left="777" w:hanging="420"/>
      </w:pPr>
      <w:rPr>
        <w:rFonts w:cs="Times New Roman"/>
      </w:rPr>
    </w:lvl>
    <w:lvl w:ilvl="1">
      <w:start w:val="1"/>
      <w:numFmt w:val="decimal"/>
      <w:pStyle w:val="8"/>
      <w:lvlText w:val="%1.%2."/>
      <w:lvlJc w:val="left"/>
      <w:pPr>
        <w:tabs>
          <w:tab w:val="num" w:pos="1857"/>
        </w:tabs>
        <w:ind w:left="1857" w:hanging="420"/>
      </w:pPr>
      <w:rPr>
        <w:rFonts w:cs="Times New Roman"/>
      </w:rPr>
    </w:lvl>
    <w:lvl w:ilvl="2">
      <w:start w:val="1"/>
      <w:numFmt w:val="decimal"/>
      <w:lvlText w:val="%1.%2.%3."/>
      <w:lvlJc w:val="left"/>
      <w:pPr>
        <w:tabs>
          <w:tab w:val="num" w:pos="3237"/>
        </w:tabs>
        <w:ind w:left="3237" w:hanging="720"/>
      </w:pPr>
      <w:rPr>
        <w:rFonts w:cs="Times New Roman"/>
      </w:rPr>
    </w:lvl>
    <w:lvl w:ilvl="3">
      <w:start w:val="1"/>
      <w:numFmt w:val="decimal"/>
      <w:lvlText w:val="%1.%2.%3.%4."/>
      <w:lvlJc w:val="left"/>
      <w:pPr>
        <w:tabs>
          <w:tab w:val="num" w:pos="4317"/>
        </w:tabs>
        <w:ind w:left="4317" w:hanging="720"/>
      </w:pPr>
      <w:rPr>
        <w:rFonts w:cs="Times New Roman"/>
      </w:rPr>
    </w:lvl>
    <w:lvl w:ilvl="4">
      <w:start w:val="1"/>
      <w:numFmt w:val="decimal"/>
      <w:lvlText w:val="%1.%2.%3.%4.%5."/>
      <w:lvlJc w:val="left"/>
      <w:pPr>
        <w:tabs>
          <w:tab w:val="num" w:pos="5757"/>
        </w:tabs>
        <w:ind w:left="5757" w:hanging="1080"/>
      </w:pPr>
      <w:rPr>
        <w:rFonts w:cs="Times New Roman"/>
      </w:rPr>
    </w:lvl>
    <w:lvl w:ilvl="5">
      <w:start w:val="1"/>
      <w:numFmt w:val="decimal"/>
      <w:lvlText w:val="%1.%2.%3.%4.%5.%6."/>
      <w:lvlJc w:val="left"/>
      <w:pPr>
        <w:tabs>
          <w:tab w:val="num" w:pos="6837"/>
        </w:tabs>
        <w:ind w:left="6837" w:hanging="1080"/>
      </w:pPr>
      <w:rPr>
        <w:rFonts w:cs="Times New Roman"/>
      </w:rPr>
    </w:lvl>
    <w:lvl w:ilvl="6">
      <w:start w:val="1"/>
      <w:numFmt w:val="decimal"/>
      <w:lvlText w:val="%1.%2.%3.%4.%5.%6.%7."/>
      <w:lvlJc w:val="left"/>
      <w:pPr>
        <w:tabs>
          <w:tab w:val="num" w:pos="8277"/>
        </w:tabs>
        <w:ind w:left="8277" w:hanging="1440"/>
      </w:pPr>
      <w:rPr>
        <w:rFonts w:cs="Times New Roman"/>
      </w:rPr>
    </w:lvl>
    <w:lvl w:ilvl="7">
      <w:start w:val="1"/>
      <w:numFmt w:val="decimal"/>
      <w:lvlText w:val="%1.%2.%3.%4.%5.%6.%7.%8."/>
      <w:lvlJc w:val="left"/>
      <w:pPr>
        <w:tabs>
          <w:tab w:val="num" w:pos="9357"/>
        </w:tabs>
        <w:ind w:left="9357" w:hanging="1440"/>
      </w:pPr>
      <w:rPr>
        <w:rFonts w:cs="Times New Roman"/>
      </w:rPr>
    </w:lvl>
    <w:lvl w:ilvl="8">
      <w:start w:val="1"/>
      <w:numFmt w:val="decimal"/>
      <w:lvlText w:val="%1.%2.%3.%4.%5.%6.%7.%8.%9."/>
      <w:lvlJc w:val="left"/>
      <w:pPr>
        <w:tabs>
          <w:tab w:val="num" w:pos="10797"/>
        </w:tabs>
        <w:ind w:left="10797" w:hanging="1800"/>
      </w:pPr>
      <w:rPr>
        <w:rFonts w:cs="Times New Roman"/>
      </w:rPr>
    </w:lvl>
  </w:abstractNum>
  <w:abstractNum w:abstractNumId="21">
    <w:nsid w:val="6D727459"/>
    <w:multiLevelType w:val="hybridMultilevel"/>
    <w:tmpl w:val="725EF5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DB21DA0"/>
    <w:multiLevelType w:val="hybridMultilevel"/>
    <w:tmpl w:val="725EF5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0A36783"/>
    <w:multiLevelType w:val="hybridMultilevel"/>
    <w:tmpl w:val="725EF5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21272BD"/>
    <w:multiLevelType w:val="hybridMultilevel"/>
    <w:tmpl w:val="55F626EE"/>
    <w:lvl w:ilvl="0" w:tplc="A942DF18">
      <w:start w:val="11"/>
      <w:numFmt w:val="decimal"/>
      <w:lvlText w:val="%1."/>
      <w:lvlJc w:val="left"/>
      <w:pPr>
        <w:ind w:left="757" w:hanging="360"/>
      </w:pPr>
      <w:rPr>
        <w:rFonts w:cs="Times New Roman"/>
      </w:rPr>
    </w:lvl>
    <w:lvl w:ilvl="1" w:tplc="04190019">
      <w:start w:val="1"/>
      <w:numFmt w:val="lowerLetter"/>
      <w:lvlText w:val="%2."/>
      <w:lvlJc w:val="left"/>
      <w:pPr>
        <w:ind w:left="1477" w:hanging="360"/>
      </w:pPr>
      <w:rPr>
        <w:rFonts w:cs="Times New Roman"/>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num w:numId="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lvlOverride w:ilvl="3"/>
    <w:lvlOverride w:ilvl="4"/>
    <w:lvlOverride w:ilvl="5"/>
    <w:lvlOverride w:ilvl="6"/>
    <w:lvlOverride w:ilvl="7"/>
    <w:lvlOverride w:ilvl="8"/>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lvlOverride w:ilvl="3"/>
    <w:lvlOverride w:ilvl="4"/>
    <w:lvlOverride w:ilvl="5"/>
    <w:lvlOverride w:ilvl="6"/>
    <w:lvlOverride w:ilvl="7"/>
    <w:lvlOverride w:ilv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lvlOverride w:ilvl="2"/>
    <w:lvlOverride w:ilvl="3"/>
    <w:lvlOverride w:ilvl="4"/>
    <w:lvlOverride w:ilvl="5"/>
    <w:lvlOverride w:ilvl="6"/>
    <w:lvlOverride w:ilvl="7"/>
    <w:lvlOverride w:ilvl="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lvlOverride w:ilvl="2"/>
    <w:lvlOverride w:ilvl="3"/>
    <w:lvlOverride w:ilvl="4"/>
    <w:lvlOverride w:ilvl="5"/>
    <w:lvlOverride w:ilvl="6"/>
    <w:lvlOverride w:ilvl="7"/>
    <w:lvlOverride w:ilvl="8"/>
  </w:num>
  <w:num w:numId="24">
    <w:abstractNumId w:val="13"/>
    <w:lvlOverride w:ilvl="0"/>
    <w:lvlOverride w:ilvl="1"/>
    <w:lvlOverride w:ilvl="2"/>
    <w:lvlOverride w:ilvl="3"/>
    <w:lvlOverride w:ilvl="4"/>
    <w:lvlOverride w:ilvl="5"/>
    <w:lvlOverride w:ilvl="6"/>
    <w:lvlOverride w:ilvl="7"/>
    <w:lvlOverride w:ilvl="8"/>
  </w:num>
  <w:num w:numId="25">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67"/>
    <w:rsid w:val="000D732C"/>
    <w:rsid w:val="002F5C67"/>
    <w:rsid w:val="00506C8F"/>
    <w:rsid w:val="009D3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D732C"/>
    <w:pPr>
      <w:spacing w:after="0" w:line="240" w:lineRule="auto"/>
    </w:pPr>
    <w:rPr>
      <w:rFonts w:ascii="Times New Roman" w:eastAsia="Calibri" w:hAnsi="Times New Roman" w:cs="Times New Roman"/>
      <w:sz w:val="24"/>
      <w:szCs w:val="24"/>
      <w:lang w:eastAsia="ru-RU"/>
    </w:rPr>
  </w:style>
  <w:style w:type="paragraph" w:styleId="10">
    <w:name w:val="heading 1"/>
    <w:aliases w:val="Название организации"/>
    <w:basedOn w:val="a2"/>
    <w:next w:val="a2"/>
    <w:link w:val="11"/>
    <w:autoRedefine/>
    <w:qFormat/>
    <w:rsid w:val="000D732C"/>
    <w:pPr>
      <w:keepNext/>
      <w:tabs>
        <w:tab w:val="left" w:pos="1080"/>
      </w:tabs>
      <w:jc w:val="center"/>
      <w:outlineLvl w:val="0"/>
    </w:pPr>
    <w:rPr>
      <w:b/>
      <w:bCs/>
    </w:rPr>
  </w:style>
  <w:style w:type="paragraph" w:styleId="2">
    <w:name w:val="heading 2"/>
    <w:aliases w:val="Название документа"/>
    <w:basedOn w:val="a2"/>
    <w:next w:val="a3"/>
    <w:link w:val="21"/>
    <w:semiHidden/>
    <w:unhideWhenUsed/>
    <w:qFormat/>
    <w:rsid w:val="000D732C"/>
    <w:pPr>
      <w:numPr>
        <w:ilvl w:val="1"/>
        <w:numId w:val="1"/>
      </w:numPr>
      <w:tabs>
        <w:tab w:val="left" w:pos="1080"/>
      </w:tabs>
      <w:spacing w:before="120"/>
      <w:jc w:val="both"/>
      <w:outlineLvl w:val="1"/>
    </w:pPr>
    <w:rPr>
      <w:bCs/>
      <w:kern w:val="24"/>
      <w:szCs w:val="20"/>
      <w:lang w:eastAsia="en-US"/>
    </w:rPr>
  </w:style>
  <w:style w:type="paragraph" w:styleId="3">
    <w:name w:val="heading 3"/>
    <w:aliases w:val="Реквизиты регистрации"/>
    <w:basedOn w:val="a2"/>
    <w:next w:val="22"/>
    <w:link w:val="30"/>
    <w:semiHidden/>
    <w:unhideWhenUsed/>
    <w:qFormat/>
    <w:rsid w:val="000D732C"/>
    <w:pPr>
      <w:numPr>
        <w:ilvl w:val="2"/>
        <w:numId w:val="1"/>
      </w:numPr>
      <w:tabs>
        <w:tab w:val="left" w:pos="50"/>
      </w:tabs>
      <w:spacing w:after="240" w:line="288" w:lineRule="auto"/>
      <w:jc w:val="both"/>
      <w:outlineLvl w:val="2"/>
    </w:pPr>
    <w:rPr>
      <w:sz w:val="22"/>
      <w:szCs w:val="20"/>
      <w:lang w:eastAsia="en-US"/>
    </w:rPr>
  </w:style>
  <w:style w:type="paragraph" w:styleId="4">
    <w:name w:val="heading 4"/>
    <w:basedOn w:val="a2"/>
    <w:next w:val="31"/>
    <w:link w:val="40"/>
    <w:semiHidden/>
    <w:unhideWhenUsed/>
    <w:qFormat/>
    <w:rsid w:val="000D732C"/>
    <w:pPr>
      <w:numPr>
        <w:ilvl w:val="3"/>
        <w:numId w:val="1"/>
      </w:numPr>
      <w:tabs>
        <w:tab w:val="left" w:pos="68"/>
      </w:tabs>
      <w:spacing w:after="200" w:line="288" w:lineRule="auto"/>
      <w:jc w:val="both"/>
      <w:outlineLvl w:val="3"/>
    </w:pPr>
    <w:rPr>
      <w:sz w:val="22"/>
      <w:szCs w:val="20"/>
      <w:lang w:eastAsia="en-US"/>
    </w:rPr>
  </w:style>
  <w:style w:type="paragraph" w:styleId="5">
    <w:name w:val="heading 5"/>
    <w:basedOn w:val="a2"/>
    <w:next w:val="a2"/>
    <w:link w:val="50"/>
    <w:semiHidden/>
    <w:unhideWhenUsed/>
    <w:qFormat/>
    <w:rsid w:val="000D732C"/>
    <w:pPr>
      <w:numPr>
        <w:ilvl w:val="4"/>
        <w:numId w:val="1"/>
      </w:numPr>
      <w:tabs>
        <w:tab w:val="left" w:pos="86"/>
      </w:tabs>
      <w:spacing w:after="200" w:line="288" w:lineRule="auto"/>
      <w:jc w:val="both"/>
      <w:outlineLvl w:val="4"/>
    </w:pPr>
    <w:rPr>
      <w:sz w:val="22"/>
      <w:szCs w:val="20"/>
      <w:lang w:eastAsia="en-US"/>
    </w:rPr>
  </w:style>
  <w:style w:type="paragraph" w:styleId="6">
    <w:name w:val="heading 6"/>
    <w:basedOn w:val="a2"/>
    <w:next w:val="a2"/>
    <w:link w:val="60"/>
    <w:autoRedefine/>
    <w:semiHidden/>
    <w:unhideWhenUsed/>
    <w:qFormat/>
    <w:rsid w:val="000D732C"/>
    <w:pPr>
      <w:numPr>
        <w:ilvl w:val="2"/>
        <w:numId w:val="2"/>
      </w:numPr>
      <w:tabs>
        <w:tab w:val="left" w:pos="0"/>
      </w:tabs>
      <w:spacing w:before="120"/>
      <w:ind w:left="0" w:firstLine="720"/>
      <w:jc w:val="both"/>
      <w:outlineLvl w:val="5"/>
    </w:pPr>
    <w:rPr>
      <w:szCs w:val="20"/>
      <w:lang w:eastAsia="en-US"/>
    </w:rPr>
  </w:style>
  <w:style w:type="paragraph" w:styleId="7">
    <w:name w:val="heading 7"/>
    <w:basedOn w:val="a2"/>
    <w:next w:val="a2"/>
    <w:link w:val="70"/>
    <w:autoRedefine/>
    <w:semiHidden/>
    <w:unhideWhenUsed/>
    <w:qFormat/>
    <w:rsid w:val="000D732C"/>
    <w:pPr>
      <w:numPr>
        <w:ilvl w:val="1"/>
        <w:numId w:val="3"/>
      </w:numPr>
      <w:tabs>
        <w:tab w:val="num" w:pos="0"/>
        <w:tab w:val="left" w:pos="1080"/>
      </w:tabs>
      <w:spacing w:before="120"/>
      <w:ind w:left="0" w:firstLine="720"/>
      <w:jc w:val="both"/>
      <w:outlineLvl w:val="6"/>
    </w:pPr>
    <w:rPr>
      <w:b/>
      <w:bCs/>
      <w:szCs w:val="20"/>
      <w:lang w:eastAsia="en-US"/>
    </w:rPr>
  </w:style>
  <w:style w:type="paragraph" w:styleId="8">
    <w:name w:val="heading 8"/>
    <w:basedOn w:val="a2"/>
    <w:next w:val="a2"/>
    <w:link w:val="80"/>
    <w:autoRedefine/>
    <w:semiHidden/>
    <w:unhideWhenUsed/>
    <w:qFormat/>
    <w:rsid w:val="000D732C"/>
    <w:pPr>
      <w:numPr>
        <w:ilvl w:val="1"/>
        <w:numId w:val="4"/>
      </w:numPr>
      <w:tabs>
        <w:tab w:val="num" w:pos="0"/>
      </w:tabs>
      <w:spacing w:before="120" w:after="120"/>
      <w:ind w:left="0" w:right="-82" w:firstLine="720"/>
      <w:jc w:val="both"/>
      <w:outlineLvl w:val="7"/>
    </w:pPr>
    <w:rPr>
      <w:b/>
      <w:bCs/>
      <w:szCs w:val="20"/>
      <w:lang w:eastAsia="en-US"/>
    </w:rPr>
  </w:style>
  <w:style w:type="paragraph" w:styleId="9">
    <w:name w:val="heading 9"/>
    <w:basedOn w:val="a2"/>
    <w:next w:val="a2"/>
    <w:link w:val="90"/>
    <w:semiHidden/>
    <w:unhideWhenUsed/>
    <w:qFormat/>
    <w:rsid w:val="000D732C"/>
    <w:pPr>
      <w:pageBreakBefore/>
      <w:numPr>
        <w:ilvl w:val="8"/>
        <w:numId w:val="1"/>
      </w:numPr>
      <w:tabs>
        <w:tab w:val="left" w:pos="1440"/>
      </w:tabs>
      <w:suppressAutoHyphens/>
      <w:spacing w:after="300" w:line="336" w:lineRule="auto"/>
      <w:jc w:val="center"/>
      <w:outlineLvl w:val="8"/>
    </w:pPr>
    <w:rPr>
      <w:b/>
      <w:smallCaps/>
      <w:sz w:val="21"/>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азвание организации Знак"/>
    <w:basedOn w:val="a4"/>
    <w:link w:val="10"/>
    <w:rsid w:val="000D732C"/>
    <w:rPr>
      <w:rFonts w:ascii="Times New Roman" w:eastAsia="Calibri" w:hAnsi="Times New Roman" w:cs="Times New Roman"/>
      <w:b/>
      <w:bCs/>
      <w:sz w:val="24"/>
      <w:szCs w:val="24"/>
      <w:lang w:eastAsia="ru-RU"/>
    </w:rPr>
  </w:style>
  <w:style w:type="character" w:customStyle="1" w:styleId="21">
    <w:name w:val="Заголовок 2 Знак"/>
    <w:aliases w:val="Название документа Знак"/>
    <w:basedOn w:val="a4"/>
    <w:link w:val="2"/>
    <w:semiHidden/>
    <w:rsid w:val="000D732C"/>
    <w:rPr>
      <w:rFonts w:ascii="Times New Roman" w:eastAsia="Calibri" w:hAnsi="Times New Roman" w:cs="Times New Roman"/>
      <w:bCs/>
      <w:kern w:val="24"/>
      <w:sz w:val="24"/>
      <w:szCs w:val="20"/>
    </w:rPr>
  </w:style>
  <w:style w:type="character" w:customStyle="1" w:styleId="30">
    <w:name w:val="Заголовок 3 Знак"/>
    <w:aliases w:val="Реквизиты регистрации Знак"/>
    <w:basedOn w:val="a4"/>
    <w:link w:val="3"/>
    <w:semiHidden/>
    <w:rsid w:val="000D732C"/>
    <w:rPr>
      <w:rFonts w:ascii="Times New Roman" w:eastAsia="Calibri" w:hAnsi="Times New Roman" w:cs="Times New Roman"/>
      <w:szCs w:val="20"/>
    </w:rPr>
  </w:style>
  <w:style w:type="character" w:customStyle="1" w:styleId="40">
    <w:name w:val="Заголовок 4 Знак"/>
    <w:basedOn w:val="a4"/>
    <w:link w:val="4"/>
    <w:semiHidden/>
    <w:rsid w:val="000D732C"/>
    <w:rPr>
      <w:rFonts w:ascii="Times New Roman" w:eastAsia="Calibri" w:hAnsi="Times New Roman" w:cs="Times New Roman"/>
      <w:szCs w:val="20"/>
    </w:rPr>
  </w:style>
  <w:style w:type="character" w:customStyle="1" w:styleId="50">
    <w:name w:val="Заголовок 5 Знак"/>
    <w:basedOn w:val="a4"/>
    <w:link w:val="5"/>
    <w:semiHidden/>
    <w:rsid w:val="000D732C"/>
    <w:rPr>
      <w:rFonts w:ascii="Times New Roman" w:eastAsia="Calibri" w:hAnsi="Times New Roman" w:cs="Times New Roman"/>
      <w:szCs w:val="20"/>
    </w:rPr>
  </w:style>
  <w:style w:type="character" w:customStyle="1" w:styleId="60">
    <w:name w:val="Заголовок 6 Знак"/>
    <w:basedOn w:val="a4"/>
    <w:link w:val="6"/>
    <w:semiHidden/>
    <w:rsid w:val="000D732C"/>
    <w:rPr>
      <w:rFonts w:ascii="Times New Roman" w:eastAsia="Calibri" w:hAnsi="Times New Roman" w:cs="Times New Roman"/>
      <w:sz w:val="24"/>
      <w:szCs w:val="20"/>
    </w:rPr>
  </w:style>
  <w:style w:type="character" w:customStyle="1" w:styleId="70">
    <w:name w:val="Заголовок 7 Знак"/>
    <w:basedOn w:val="a4"/>
    <w:link w:val="7"/>
    <w:semiHidden/>
    <w:rsid w:val="000D732C"/>
    <w:rPr>
      <w:rFonts w:ascii="Times New Roman" w:eastAsia="Calibri" w:hAnsi="Times New Roman" w:cs="Times New Roman"/>
      <w:b/>
      <w:bCs/>
      <w:sz w:val="24"/>
      <w:szCs w:val="20"/>
    </w:rPr>
  </w:style>
  <w:style w:type="character" w:customStyle="1" w:styleId="80">
    <w:name w:val="Заголовок 8 Знак"/>
    <w:basedOn w:val="a4"/>
    <w:link w:val="8"/>
    <w:semiHidden/>
    <w:rsid w:val="000D732C"/>
    <w:rPr>
      <w:rFonts w:ascii="Times New Roman" w:eastAsia="Calibri" w:hAnsi="Times New Roman" w:cs="Times New Roman"/>
      <w:b/>
      <w:bCs/>
      <w:sz w:val="24"/>
      <w:szCs w:val="20"/>
    </w:rPr>
  </w:style>
  <w:style w:type="character" w:customStyle="1" w:styleId="90">
    <w:name w:val="Заголовок 9 Знак"/>
    <w:basedOn w:val="a4"/>
    <w:link w:val="9"/>
    <w:semiHidden/>
    <w:rsid w:val="000D732C"/>
    <w:rPr>
      <w:rFonts w:ascii="Times New Roman" w:eastAsia="Calibri" w:hAnsi="Times New Roman" w:cs="Times New Roman"/>
      <w:b/>
      <w:smallCaps/>
      <w:sz w:val="21"/>
      <w:szCs w:val="20"/>
    </w:rPr>
  </w:style>
  <w:style w:type="character" w:styleId="a7">
    <w:name w:val="Hyperlink"/>
    <w:semiHidden/>
    <w:unhideWhenUsed/>
    <w:rsid w:val="000D732C"/>
    <w:rPr>
      <w:color w:val="0000FF"/>
      <w:u w:val="single"/>
    </w:rPr>
  </w:style>
  <w:style w:type="character" w:styleId="a8">
    <w:name w:val="FollowedHyperlink"/>
    <w:semiHidden/>
    <w:unhideWhenUsed/>
    <w:rsid w:val="000D732C"/>
    <w:rPr>
      <w:color w:val="800080"/>
      <w:u w:val="single"/>
    </w:rPr>
  </w:style>
  <w:style w:type="character" w:styleId="a9">
    <w:name w:val="Emphasis"/>
    <w:qFormat/>
    <w:rsid w:val="000D732C"/>
    <w:rPr>
      <w:i/>
      <w:iCs w:val="0"/>
    </w:rPr>
  </w:style>
  <w:style w:type="character" w:customStyle="1" w:styleId="110">
    <w:name w:val="Заголовок 1 Знак1"/>
    <w:aliases w:val="Название организации Знак1"/>
    <w:basedOn w:val="a4"/>
    <w:rsid w:val="000D732C"/>
    <w:rPr>
      <w:rFonts w:asciiTheme="majorHAnsi" w:eastAsiaTheme="majorEastAsia" w:hAnsiTheme="majorHAnsi" w:cstheme="majorBidi"/>
      <w:b/>
      <w:bCs/>
      <w:color w:val="365F91" w:themeColor="accent1" w:themeShade="BF"/>
      <w:sz w:val="28"/>
      <w:szCs w:val="28"/>
    </w:rPr>
  </w:style>
  <w:style w:type="paragraph" w:styleId="a3">
    <w:name w:val="Body Text"/>
    <w:basedOn w:val="a2"/>
    <w:link w:val="aa"/>
    <w:semiHidden/>
    <w:unhideWhenUsed/>
    <w:rsid w:val="000D732C"/>
    <w:pPr>
      <w:spacing w:after="120"/>
    </w:pPr>
  </w:style>
  <w:style w:type="character" w:customStyle="1" w:styleId="aa">
    <w:name w:val="Основной текст Знак"/>
    <w:basedOn w:val="a4"/>
    <w:link w:val="a3"/>
    <w:semiHidden/>
    <w:rsid w:val="000D732C"/>
    <w:rPr>
      <w:rFonts w:ascii="Times New Roman" w:eastAsia="Calibri" w:hAnsi="Times New Roman" w:cs="Times New Roman"/>
      <w:sz w:val="24"/>
      <w:szCs w:val="24"/>
      <w:lang w:eastAsia="ru-RU"/>
    </w:rPr>
  </w:style>
  <w:style w:type="character" w:customStyle="1" w:styleId="210">
    <w:name w:val="Заголовок 2 Знак1"/>
    <w:aliases w:val="Название документа Знак1"/>
    <w:basedOn w:val="a4"/>
    <w:semiHidden/>
    <w:rsid w:val="000D732C"/>
    <w:rPr>
      <w:rFonts w:asciiTheme="majorHAnsi" w:eastAsiaTheme="majorEastAsia" w:hAnsiTheme="majorHAnsi" w:cstheme="majorBidi"/>
      <w:b/>
      <w:bCs/>
      <w:color w:val="4F81BD" w:themeColor="accent1"/>
      <w:sz w:val="26"/>
      <w:szCs w:val="26"/>
    </w:rPr>
  </w:style>
  <w:style w:type="paragraph" w:styleId="22">
    <w:name w:val="Body Text 2"/>
    <w:basedOn w:val="a2"/>
    <w:link w:val="23"/>
    <w:semiHidden/>
    <w:unhideWhenUsed/>
    <w:rsid w:val="000D732C"/>
    <w:pPr>
      <w:spacing w:after="120" w:line="480" w:lineRule="auto"/>
    </w:pPr>
  </w:style>
  <w:style w:type="character" w:customStyle="1" w:styleId="23">
    <w:name w:val="Основной текст 2 Знак"/>
    <w:basedOn w:val="a4"/>
    <w:link w:val="22"/>
    <w:semiHidden/>
    <w:rsid w:val="000D732C"/>
    <w:rPr>
      <w:rFonts w:ascii="Times New Roman" w:eastAsia="Calibri" w:hAnsi="Times New Roman" w:cs="Times New Roman"/>
      <w:sz w:val="24"/>
      <w:szCs w:val="24"/>
      <w:lang w:eastAsia="ru-RU"/>
    </w:rPr>
  </w:style>
  <w:style w:type="character" w:customStyle="1" w:styleId="310">
    <w:name w:val="Заголовок 3 Знак1"/>
    <w:aliases w:val="Реквизиты регистрации Знак1"/>
    <w:basedOn w:val="a4"/>
    <w:semiHidden/>
    <w:rsid w:val="000D732C"/>
    <w:rPr>
      <w:rFonts w:asciiTheme="majorHAnsi" w:eastAsiaTheme="majorEastAsia" w:hAnsiTheme="majorHAnsi" w:cstheme="majorBidi"/>
      <w:b/>
      <w:bCs/>
      <w:color w:val="4F81BD" w:themeColor="accent1"/>
      <w:sz w:val="24"/>
      <w:szCs w:val="24"/>
    </w:rPr>
  </w:style>
  <w:style w:type="paragraph" w:styleId="31">
    <w:name w:val="Body Text 3"/>
    <w:basedOn w:val="a2"/>
    <w:link w:val="32"/>
    <w:semiHidden/>
    <w:unhideWhenUsed/>
    <w:rsid w:val="000D732C"/>
    <w:pPr>
      <w:spacing w:after="120"/>
    </w:pPr>
    <w:rPr>
      <w:sz w:val="16"/>
      <w:szCs w:val="16"/>
    </w:rPr>
  </w:style>
  <w:style w:type="character" w:customStyle="1" w:styleId="32">
    <w:name w:val="Основной текст 3 Знак"/>
    <w:basedOn w:val="a4"/>
    <w:link w:val="31"/>
    <w:semiHidden/>
    <w:rsid w:val="000D732C"/>
    <w:rPr>
      <w:rFonts w:ascii="Times New Roman" w:eastAsia="Calibri" w:hAnsi="Times New Roman" w:cs="Times New Roman"/>
      <w:sz w:val="16"/>
      <w:szCs w:val="16"/>
      <w:lang w:eastAsia="ru-RU"/>
    </w:rPr>
  </w:style>
  <w:style w:type="paragraph" w:styleId="HTML">
    <w:name w:val="HTML Preformatted"/>
    <w:basedOn w:val="a2"/>
    <w:link w:val="HTML0"/>
    <w:semiHidden/>
    <w:unhideWhenUsed/>
    <w:rsid w:val="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4"/>
    <w:link w:val="HTML"/>
    <w:semiHidden/>
    <w:rsid w:val="000D732C"/>
    <w:rPr>
      <w:rFonts w:ascii="Arial Unicode MS" w:eastAsia="Arial Unicode MS" w:hAnsi="Arial Unicode MS" w:cs="Arial Unicode MS"/>
      <w:sz w:val="20"/>
      <w:szCs w:val="20"/>
      <w:lang w:eastAsia="ru-RU"/>
    </w:rPr>
  </w:style>
  <w:style w:type="character" w:styleId="ab">
    <w:name w:val="Strong"/>
    <w:qFormat/>
    <w:rsid w:val="000D732C"/>
    <w:rPr>
      <w:rFonts w:ascii="Times New Roman" w:hAnsi="Times New Roman" w:cs="Times New Roman" w:hint="default"/>
      <w:b/>
      <w:bCs/>
    </w:rPr>
  </w:style>
  <w:style w:type="paragraph" w:styleId="ac">
    <w:name w:val="Normal (Web)"/>
    <w:basedOn w:val="a2"/>
    <w:semiHidden/>
    <w:unhideWhenUsed/>
    <w:rsid w:val="000D732C"/>
    <w:pPr>
      <w:spacing w:before="100" w:beforeAutospacing="1" w:after="100" w:afterAutospacing="1"/>
    </w:pPr>
    <w:rPr>
      <w:rFonts w:ascii="Arial Unicode MS" w:eastAsia="Arial Unicode MS" w:hAnsi="Arial Unicode MS" w:cs="Arial Unicode MS"/>
      <w:color w:val="101010"/>
    </w:rPr>
  </w:style>
  <w:style w:type="paragraph" w:styleId="12">
    <w:name w:val="toc 1"/>
    <w:basedOn w:val="a2"/>
    <w:next w:val="a2"/>
    <w:autoRedefine/>
    <w:semiHidden/>
    <w:unhideWhenUsed/>
    <w:rsid w:val="000D732C"/>
    <w:pPr>
      <w:tabs>
        <w:tab w:val="right" w:pos="9787"/>
      </w:tabs>
      <w:spacing w:before="360"/>
    </w:pPr>
    <w:rPr>
      <w:rFonts w:ascii="Cambria" w:hAnsi="Cambria"/>
      <w:b/>
      <w:bCs/>
      <w:caps/>
    </w:rPr>
  </w:style>
  <w:style w:type="paragraph" w:styleId="24">
    <w:name w:val="toc 2"/>
    <w:basedOn w:val="a2"/>
    <w:next w:val="a2"/>
    <w:autoRedefine/>
    <w:semiHidden/>
    <w:unhideWhenUsed/>
    <w:rsid w:val="000D732C"/>
    <w:pPr>
      <w:spacing w:before="240"/>
    </w:pPr>
    <w:rPr>
      <w:rFonts w:ascii="Calibri" w:hAnsi="Calibri"/>
      <w:b/>
      <w:bCs/>
      <w:sz w:val="20"/>
      <w:szCs w:val="20"/>
    </w:rPr>
  </w:style>
  <w:style w:type="paragraph" w:styleId="33">
    <w:name w:val="toc 3"/>
    <w:basedOn w:val="a2"/>
    <w:next w:val="a2"/>
    <w:autoRedefine/>
    <w:semiHidden/>
    <w:unhideWhenUsed/>
    <w:rsid w:val="000D732C"/>
    <w:pPr>
      <w:ind w:left="240"/>
    </w:pPr>
    <w:rPr>
      <w:rFonts w:ascii="Calibri" w:hAnsi="Calibri"/>
      <w:sz w:val="20"/>
      <w:szCs w:val="20"/>
    </w:rPr>
  </w:style>
  <w:style w:type="paragraph" w:styleId="41">
    <w:name w:val="toc 4"/>
    <w:basedOn w:val="a2"/>
    <w:next w:val="a2"/>
    <w:autoRedefine/>
    <w:semiHidden/>
    <w:unhideWhenUsed/>
    <w:rsid w:val="000D732C"/>
    <w:pPr>
      <w:ind w:left="480"/>
    </w:pPr>
    <w:rPr>
      <w:rFonts w:ascii="Calibri" w:hAnsi="Calibri"/>
      <w:sz w:val="20"/>
      <w:szCs w:val="20"/>
    </w:rPr>
  </w:style>
  <w:style w:type="paragraph" w:styleId="51">
    <w:name w:val="toc 5"/>
    <w:basedOn w:val="a2"/>
    <w:next w:val="a2"/>
    <w:autoRedefine/>
    <w:semiHidden/>
    <w:unhideWhenUsed/>
    <w:rsid w:val="000D732C"/>
    <w:pPr>
      <w:ind w:left="720"/>
    </w:pPr>
    <w:rPr>
      <w:rFonts w:ascii="Calibri" w:hAnsi="Calibri"/>
      <w:sz w:val="20"/>
      <w:szCs w:val="20"/>
    </w:rPr>
  </w:style>
  <w:style w:type="paragraph" w:styleId="61">
    <w:name w:val="toc 6"/>
    <w:basedOn w:val="a2"/>
    <w:next w:val="a2"/>
    <w:autoRedefine/>
    <w:semiHidden/>
    <w:unhideWhenUsed/>
    <w:rsid w:val="000D732C"/>
    <w:pPr>
      <w:ind w:left="960"/>
    </w:pPr>
    <w:rPr>
      <w:rFonts w:ascii="Calibri" w:hAnsi="Calibri"/>
      <w:sz w:val="20"/>
      <w:szCs w:val="20"/>
    </w:rPr>
  </w:style>
  <w:style w:type="paragraph" w:styleId="71">
    <w:name w:val="toc 7"/>
    <w:basedOn w:val="a2"/>
    <w:next w:val="a2"/>
    <w:autoRedefine/>
    <w:semiHidden/>
    <w:unhideWhenUsed/>
    <w:rsid w:val="000D732C"/>
    <w:pPr>
      <w:ind w:left="1200"/>
    </w:pPr>
    <w:rPr>
      <w:rFonts w:ascii="Calibri" w:hAnsi="Calibri"/>
      <w:sz w:val="20"/>
      <w:szCs w:val="20"/>
    </w:rPr>
  </w:style>
  <w:style w:type="paragraph" w:styleId="81">
    <w:name w:val="toc 8"/>
    <w:basedOn w:val="a2"/>
    <w:next w:val="a2"/>
    <w:autoRedefine/>
    <w:semiHidden/>
    <w:unhideWhenUsed/>
    <w:rsid w:val="000D732C"/>
    <w:pPr>
      <w:ind w:left="1440"/>
    </w:pPr>
    <w:rPr>
      <w:rFonts w:ascii="Calibri" w:hAnsi="Calibri"/>
      <w:sz w:val="20"/>
      <w:szCs w:val="20"/>
    </w:rPr>
  </w:style>
  <w:style w:type="paragraph" w:styleId="91">
    <w:name w:val="toc 9"/>
    <w:basedOn w:val="a2"/>
    <w:next w:val="a2"/>
    <w:autoRedefine/>
    <w:semiHidden/>
    <w:unhideWhenUsed/>
    <w:rsid w:val="000D732C"/>
    <w:pPr>
      <w:ind w:left="1680"/>
    </w:pPr>
    <w:rPr>
      <w:rFonts w:ascii="Calibri" w:hAnsi="Calibri"/>
      <w:sz w:val="20"/>
      <w:szCs w:val="20"/>
    </w:rPr>
  </w:style>
  <w:style w:type="paragraph" w:styleId="ad">
    <w:name w:val="footnote text"/>
    <w:basedOn w:val="a2"/>
    <w:link w:val="ae"/>
    <w:semiHidden/>
    <w:unhideWhenUsed/>
    <w:rsid w:val="000D732C"/>
    <w:rPr>
      <w:sz w:val="20"/>
      <w:szCs w:val="20"/>
      <w:lang w:eastAsia="en-US"/>
    </w:rPr>
  </w:style>
  <w:style w:type="character" w:customStyle="1" w:styleId="ae">
    <w:name w:val="Текст сноски Знак"/>
    <w:basedOn w:val="a4"/>
    <w:link w:val="ad"/>
    <w:semiHidden/>
    <w:rsid w:val="000D732C"/>
    <w:rPr>
      <w:rFonts w:ascii="Times New Roman" w:eastAsia="Calibri" w:hAnsi="Times New Roman" w:cs="Times New Roman"/>
      <w:sz w:val="20"/>
      <w:szCs w:val="20"/>
    </w:rPr>
  </w:style>
  <w:style w:type="paragraph" w:styleId="af">
    <w:name w:val="annotation text"/>
    <w:basedOn w:val="a2"/>
    <w:link w:val="af0"/>
    <w:semiHidden/>
    <w:unhideWhenUsed/>
    <w:rsid w:val="000D732C"/>
    <w:rPr>
      <w:sz w:val="20"/>
      <w:szCs w:val="20"/>
    </w:rPr>
  </w:style>
  <w:style w:type="character" w:customStyle="1" w:styleId="af0">
    <w:name w:val="Текст примечания Знак"/>
    <w:basedOn w:val="a4"/>
    <w:link w:val="af"/>
    <w:semiHidden/>
    <w:rsid w:val="000D732C"/>
    <w:rPr>
      <w:rFonts w:ascii="Times New Roman" w:eastAsia="Calibri" w:hAnsi="Times New Roman" w:cs="Times New Roman"/>
      <w:sz w:val="20"/>
      <w:szCs w:val="20"/>
      <w:lang w:eastAsia="ru-RU"/>
    </w:rPr>
  </w:style>
  <w:style w:type="paragraph" w:styleId="af1">
    <w:name w:val="header"/>
    <w:basedOn w:val="a2"/>
    <w:link w:val="af2"/>
    <w:semiHidden/>
    <w:unhideWhenUsed/>
    <w:rsid w:val="000D732C"/>
    <w:pPr>
      <w:tabs>
        <w:tab w:val="center" w:pos="4677"/>
        <w:tab w:val="right" w:pos="9355"/>
      </w:tabs>
    </w:pPr>
  </w:style>
  <w:style w:type="character" w:customStyle="1" w:styleId="af2">
    <w:name w:val="Верхний колонтитул Знак"/>
    <w:basedOn w:val="a4"/>
    <w:link w:val="af1"/>
    <w:semiHidden/>
    <w:rsid w:val="000D732C"/>
    <w:rPr>
      <w:rFonts w:ascii="Times New Roman" w:eastAsia="Calibri" w:hAnsi="Times New Roman" w:cs="Times New Roman"/>
      <w:sz w:val="24"/>
      <w:szCs w:val="24"/>
      <w:lang w:eastAsia="ru-RU"/>
    </w:rPr>
  </w:style>
  <w:style w:type="paragraph" w:styleId="af3">
    <w:name w:val="footer"/>
    <w:basedOn w:val="a2"/>
    <w:link w:val="af4"/>
    <w:semiHidden/>
    <w:unhideWhenUsed/>
    <w:rsid w:val="000D732C"/>
    <w:pPr>
      <w:tabs>
        <w:tab w:val="center" w:pos="4677"/>
        <w:tab w:val="right" w:pos="9355"/>
      </w:tabs>
    </w:pPr>
  </w:style>
  <w:style w:type="character" w:customStyle="1" w:styleId="af4">
    <w:name w:val="Нижний колонтитул Знак"/>
    <w:basedOn w:val="a4"/>
    <w:link w:val="af3"/>
    <w:semiHidden/>
    <w:rsid w:val="000D732C"/>
    <w:rPr>
      <w:rFonts w:ascii="Times New Roman" w:eastAsia="Calibri" w:hAnsi="Times New Roman" w:cs="Times New Roman"/>
      <w:sz w:val="24"/>
      <w:szCs w:val="24"/>
      <w:lang w:eastAsia="ru-RU"/>
    </w:rPr>
  </w:style>
  <w:style w:type="paragraph" w:styleId="af5">
    <w:name w:val="caption"/>
    <w:basedOn w:val="a2"/>
    <w:next w:val="a2"/>
    <w:semiHidden/>
    <w:unhideWhenUsed/>
    <w:qFormat/>
    <w:rsid w:val="000D732C"/>
    <w:pPr>
      <w:ind w:firstLine="567"/>
      <w:jc w:val="both"/>
    </w:pPr>
    <w:rPr>
      <w:i/>
      <w:iCs/>
      <w:color w:val="0000FF"/>
      <w:sz w:val="20"/>
      <w:szCs w:val="20"/>
    </w:rPr>
  </w:style>
  <w:style w:type="paragraph" w:styleId="af6">
    <w:name w:val="endnote text"/>
    <w:basedOn w:val="a2"/>
    <w:link w:val="af7"/>
    <w:semiHidden/>
    <w:unhideWhenUsed/>
    <w:rsid w:val="000D732C"/>
    <w:rPr>
      <w:sz w:val="20"/>
      <w:szCs w:val="20"/>
    </w:rPr>
  </w:style>
  <w:style w:type="character" w:customStyle="1" w:styleId="af7">
    <w:name w:val="Текст концевой сноски Знак"/>
    <w:basedOn w:val="a4"/>
    <w:link w:val="af6"/>
    <w:semiHidden/>
    <w:rsid w:val="000D732C"/>
    <w:rPr>
      <w:rFonts w:ascii="Times New Roman" w:eastAsia="Calibri" w:hAnsi="Times New Roman" w:cs="Times New Roman"/>
      <w:sz w:val="20"/>
      <w:szCs w:val="20"/>
      <w:lang w:eastAsia="ru-RU"/>
    </w:rPr>
  </w:style>
  <w:style w:type="paragraph" w:styleId="20">
    <w:name w:val="List Bullet 2"/>
    <w:basedOn w:val="a2"/>
    <w:autoRedefine/>
    <w:semiHidden/>
    <w:unhideWhenUsed/>
    <w:rsid w:val="000D732C"/>
    <w:pPr>
      <w:numPr>
        <w:numId w:val="5"/>
      </w:numPr>
      <w:tabs>
        <w:tab w:val="clear" w:pos="1069"/>
        <w:tab w:val="num" w:pos="1276"/>
      </w:tabs>
      <w:spacing w:after="120"/>
      <w:ind w:left="1276" w:hanging="425"/>
      <w:jc w:val="both"/>
    </w:pPr>
    <w:rPr>
      <w:sz w:val="20"/>
      <w:szCs w:val="20"/>
    </w:rPr>
  </w:style>
  <w:style w:type="paragraph" w:styleId="af8">
    <w:name w:val="Title"/>
    <w:basedOn w:val="a2"/>
    <w:next w:val="a2"/>
    <w:link w:val="af9"/>
    <w:uiPriority w:val="10"/>
    <w:qFormat/>
    <w:rsid w:val="000D73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4"/>
    <w:link w:val="af8"/>
    <w:uiPriority w:val="10"/>
    <w:rsid w:val="000D732C"/>
    <w:rPr>
      <w:rFonts w:asciiTheme="majorHAnsi" w:eastAsiaTheme="majorEastAsia" w:hAnsiTheme="majorHAnsi" w:cstheme="majorBidi"/>
      <w:color w:val="17365D" w:themeColor="text2" w:themeShade="BF"/>
      <w:spacing w:val="5"/>
      <w:kern w:val="28"/>
      <w:sz w:val="52"/>
      <w:szCs w:val="52"/>
      <w:lang w:eastAsia="ru-RU"/>
    </w:rPr>
  </w:style>
  <w:style w:type="paragraph" w:styleId="afa">
    <w:name w:val="Signature"/>
    <w:basedOn w:val="a2"/>
    <w:link w:val="afb"/>
    <w:semiHidden/>
    <w:unhideWhenUsed/>
    <w:rsid w:val="000D732C"/>
    <w:pPr>
      <w:tabs>
        <w:tab w:val="left" w:pos="6804"/>
        <w:tab w:val="right" w:pos="8931"/>
      </w:tabs>
      <w:jc w:val="both"/>
    </w:pPr>
    <w:rPr>
      <w:b/>
      <w:szCs w:val="20"/>
    </w:rPr>
  </w:style>
  <w:style w:type="character" w:customStyle="1" w:styleId="afb">
    <w:name w:val="Подпись Знак"/>
    <w:basedOn w:val="a4"/>
    <w:link w:val="afa"/>
    <w:semiHidden/>
    <w:rsid w:val="000D732C"/>
    <w:rPr>
      <w:rFonts w:ascii="Times New Roman" w:eastAsia="Calibri" w:hAnsi="Times New Roman" w:cs="Times New Roman"/>
      <w:b/>
      <w:sz w:val="24"/>
      <w:szCs w:val="20"/>
      <w:lang w:eastAsia="ru-RU"/>
    </w:rPr>
  </w:style>
  <w:style w:type="paragraph" w:styleId="afc">
    <w:name w:val="Body Text Indent"/>
    <w:basedOn w:val="a2"/>
    <w:link w:val="afd"/>
    <w:semiHidden/>
    <w:unhideWhenUsed/>
    <w:rsid w:val="000D732C"/>
    <w:pPr>
      <w:ind w:firstLine="567"/>
    </w:pPr>
    <w:rPr>
      <w:sz w:val="20"/>
      <w:szCs w:val="20"/>
      <w:lang w:eastAsia="en-US"/>
    </w:rPr>
  </w:style>
  <w:style w:type="character" w:customStyle="1" w:styleId="afd">
    <w:name w:val="Основной текст с отступом Знак"/>
    <w:basedOn w:val="a4"/>
    <w:link w:val="afc"/>
    <w:semiHidden/>
    <w:rsid w:val="000D732C"/>
    <w:rPr>
      <w:rFonts w:ascii="Times New Roman" w:eastAsia="Calibri" w:hAnsi="Times New Roman" w:cs="Times New Roman"/>
      <w:sz w:val="20"/>
      <w:szCs w:val="20"/>
    </w:rPr>
  </w:style>
  <w:style w:type="paragraph" w:styleId="afe">
    <w:name w:val="Subtitle"/>
    <w:basedOn w:val="a2"/>
    <w:link w:val="aff"/>
    <w:qFormat/>
    <w:rsid w:val="000D732C"/>
    <w:pPr>
      <w:jc w:val="center"/>
    </w:pPr>
    <w:rPr>
      <w:b/>
      <w:bCs/>
    </w:rPr>
  </w:style>
  <w:style w:type="character" w:customStyle="1" w:styleId="aff">
    <w:name w:val="Подзаголовок Знак"/>
    <w:basedOn w:val="a4"/>
    <w:link w:val="afe"/>
    <w:rsid w:val="000D732C"/>
    <w:rPr>
      <w:rFonts w:ascii="Times New Roman" w:eastAsia="Calibri" w:hAnsi="Times New Roman" w:cs="Times New Roman"/>
      <w:b/>
      <w:bCs/>
      <w:sz w:val="24"/>
      <w:szCs w:val="24"/>
      <w:lang w:eastAsia="ru-RU"/>
    </w:rPr>
  </w:style>
  <w:style w:type="paragraph" w:styleId="25">
    <w:name w:val="Body Text Indent 2"/>
    <w:basedOn w:val="a2"/>
    <w:link w:val="26"/>
    <w:semiHidden/>
    <w:unhideWhenUsed/>
    <w:rsid w:val="000D732C"/>
    <w:pPr>
      <w:ind w:firstLine="567"/>
      <w:jc w:val="both"/>
    </w:pPr>
    <w:rPr>
      <w:sz w:val="20"/>
      <w:szCs w:val="20"/>
      <w:lang w:eastAsia="en-US"/>
    </w:rPr>
  </w:style>
  <w:style w:type="character" w:customStyle="1" w:styleId="26">
    <w:name w:val="Основной текст с отступом 2 Знак"/>
    <w:basedOn w:val="a4"/>
    <w:link w:val="25"/>
    <w:semiHidden/>
    <w:rsid w:val="000D732C"/>
    <w:rPr>
      <w:rFonts w:ascii="Times New Roman" w:eastAsia="Calibri" w:hAnsi="Times New Roman" w:cs="Times New Roman"/>
      <w:sz w:val="20"/>
      <w:szCs w:val="20"/>
    </w:rPr>
  </w:style>
  <w:style w:type="paragraph" w:styleId="34">
    <w:name w:val="Body Text Indent 3"/>
    <w:basedOn w:val="a2"/>
    <w:link w:val="35"/>
    <w:semiHidden/>
    <w:unhideWhenUsed/>
    <w:rsid w:val="000D732C"/>
    <w:pPr>
      <w:spacing w:before="60"/>
      <w:ind w:left="1797"/>
      <w:jc w:val="both"/>
    </w:pPr>
  </w:style>
  <w:style w:type="character" w:customStyle="1" w:styleId="35">
    <w:name w:val="Основной текст с отступом 3 Знак"/>
    <w:basedOn w:val="a4"/>
    <w:link w:val="34"/>
    <w:semiHidden/>
    <w:rsid w:val="000D732C"/>
    <w:rPr>
      <w:rFonts w:ascii="Times New Roman" w:eastAsia="Calibri" w:hAnsi="Times New Roman" w:cs="Times New Roman"/>
      <w:sz w:val="24"/>
      <w:szCs w:val="24"/>
      <w:lang w:eastAsia="ru-RU"/>
    </w:rPr>
  </w:style>
  <w:style w:type="paragraph" w:styleId="aff0">
    <w:name w:val="Block Text"/>
    <w:basedOn w:val="a2"/>
    <w:semiHidden/>
    <w:unhideWhenUsed/>
    <w:rsid w:val="000D732C"/>
    <w:pPr>
      <w:tabs>
        <w:tab w:val="left" w:pos="0"/>
      </w:tabs>
      <w:ind w:left="163" w:right="163" w:firstLine="546"/>
      <w:jc w:val="both"/>
    </w:pPr>
    <w:rPr>
      <w:i/>
      <w:sz w:val="16"/>
    </w:rPr>
  </w:style>
  <w:style w:type="paragraph" w:styleId="aff1">
    <w:name w:val="Document Map"/>
    <w:basedOn w:val="a2"/>
    <w:link w:val="aff2"/>
    <w:semiHidden/>
    <w:unhideWhenUsed/>
    <w:rsid w:val="000D732C"/>
    <w:rPr>
      <w:rFonts w:ascii="Tahoma" w:hAnsi="Tahoma"/>
      <w:sz w:val="16"/>
      <w:szCs w:val="16"/>
    </w:rPr>
  </w:style>
  <w:style w:type="character" w:customStyle="1" w:styleId="aff2">
    <w:name w:val="Схема документа Знак"/>
    <w:basedOn w:val="a4"/>
    <w:link w:val="aff1"/>
    <w:semiHidden/>
    <w:rsid w:val="000D732C"/>
    <w:rPr>
      <w:rFonts w:ascii="Tahoma" w:eastAsia="Calibri" w:hAnsi="Tahoma" w:cs="Times New Roman"/>
      <w:sz w:val="16"/>
      <w:szCs w:val="16"/>
      <w:lang w:eastAsia="ru-RU"/>
    </w:rPr>
  </w:style>
  <w:style w:type="paragraph" w:styleId="aff3">
    <w:name w:val="Plain Text"/>
    <w:basedOn w:val="a2"/>
    <w:link w:val="aff4"/>
    <w:semiHidden/>
    <w:unhideWhenUsed/>
    <w:rsid w:val="000D732C"/>
    <w:rPr>
      <w:rFonts w:ascii="Courier New" w:hAnsi="Courier New"/>
      <w:sz w:val="20"/>
      <w:szCs w:val="20"/>
    </w:rPr>
  </w:style>
  <w:style w:type="character" w:customStyle="1" w:styleId="aff4">
    <w:name w:val="Текст Знак"/>
    <w:basedOn w:val="a4"/>
    <w:link w:val="aff3"/>
    <w:semiHidden/>
    <w:rsid w:val="000D732C"/>
    <w:rPr>
      <w:rFonts w:ascii="Courier New" w:eastAsia="Calibri" w:hAnsi="Courier New" w:cs="Times New Roman"/>
      <w:sz w:val="20"/>
      <w:szCs w:val="20"/>
      <w:lang w:eastAsia="ru-RU"/>
    </w:rPr>
  </w:style>
  <w:style w:type="paragraph" w:styleId="aff5">
    <w:name w:val="annotation subject"/>
    <w:basedOn w:val="af"/>
    <w:next w:val="af"/>
    <w:link w:val="aff6"/>
    <w:semiHidden/>
    <w:unhideWhenUsed/>
    <w:rsid w:val="000D732C"/>
    <w:rPr>
      <w:b/>
      <w:bCs/>
    </w:rPr>
  </w:style>
  <w:style w:type="character" w:customStyle="1" w:styleId="aff6">
    <w:name w:val="Тема примечания Знак"/>
    <w:basedOn w:val="af0"/>
    <w:link w:val="aff5"/>
    <w:semiHidden/>
    <w:rsid w:val="000D732C"/>
    <w:rPr>
      <w:rFonts w:ascii="Times New Roman" w:eastAsia="Calibri" w:hAnsi="Times New Roman" w:cs="Times New Roman"/>
      <w:b/>
      <w:bCs/>
      <w:sz w:val="20"/>
      <w:szCs w:val="20"/>
      <w:lang w:eastAsia="ru-RU"/>
    </w:rPr>
  </w:style>
  <w:style w:type="paragraph" w:styleId="aff7">
    <w:name w:val="Balloon Text"/>
    <w:basedOn w:val="a2"/>
    <w:link w:val="aff8"/>
    <w:semiHidden/>
    <w:unhideWhenUsed/>
    <w:rsid w:val="000D732C"/>
    <w:rPr>
      <w:rFonts w:ascii="Tahoma" w:hAnsi="Tahoma" w:cs="Tahoma"/>
      <w:sz w:val="16"/>
      <w:szCs w:val="16"/>
    </w:rPr>
  </w:style>
  <w:style w:type="character" w:customStyle="1" w:styleId="aff8">
    <w:name w:val="Текст выноски Знак"/>
    <w:basedOn w:val="a4"/>
    <w:link w:val="aff7"/>
    <w:semiHidden/>
    <w:rsid w:val="000D732C"/>
    <w:rPr>
      <w:rFonts w:ascii="Tahoma" w:eastAsia="Calibri" w:hAnsi="Tahoma" w:cs="Tahoma"/>
      <w:sz w:val="16"/>
      <w:szCs w:val="16"/>
      <w:lang w:eastAsia="ru-RU"/>
    </w:rPr>
  </w:style>
  <w:style w:type="paragraph" w:styleId="aff9">
    <w:name w:val="List Paragraph"/>
    <w:basedOn w:val="a2"/>
    <w:uiPriority w:val="34"/>
    <w:qFormat/>
    <w:rsid w:val="000D732C"/>
    <w:pPr>
      <w:ind w:left="720"/>
      <w:contextualSpacing/>
    </w:pPr>
    <w:rPr>
      <w:rFonts w:eastAsia="Times New Roman"/>
    </w:rPr>
  </w:style>
  <w:style w:type="paragraph" w:customStyle="1" w:styleId="42">
    <w:name w:val="заголовок 4"/>
    <w:basedOn w:val="a2"/>
    <w:next w:val="a2"/>
    <w:rsid w:val="000D732C"/>
    <w:pPr>
      <w:keepNext/>
      <w:ind w:firstLine="720"/>
      <w:jc w:val="both"/>
    </w:pPr>
    <w:rPr>
      <w:sz w:val="22"/>
      <w:szCs w:val="20"/>
    </w:rPr>
  </w:style>
  <w:style w:type="paragraph" w:customStyle="1" w:styleId="affa">
    <w:name w:val="Автор документа"/>
    <w:basedOn w:val="a2"/>
    <w:rsid w:val="000D732C"/>
    <w:rPr>
      <w:szCs w:val="20"/>
    </w:rPr>
  </w:style>
  <w:style w:type="paragraph" w:customStyle="1" w:styleId="211">
    <w:name w:val="Основной текст 21"/>
    <w:basedOn w:val="a2"/>
    <w:rsid w:val="000D732C"/>
    <w:pPr>
      <w:overflowPunct w:val="0"/>
      <w:autoSpaceDE w:val="0"/>
      <w:autoSpaceDN w:val="0"/>
      <w:adjustRightInd w:val="0"/>
      <w:jc w:val="both"/>
    </w:pPr>
    <w:rPr>
      <w:szCs w:val="20"/>
    </w:rPr>
  </w:style>
  <w:style w:type="paragraph" w:customStyle="1" w:styleId="xl30">
    <w:name w:val="xl30"/>
    <w:basedOn w:val="a2"/>
    <w:rsid w:val="000D732C"/>
    <w:pPr>
      <w:pBdr>
        <w:left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13">
    <w:name w:val="Обычный1"/>
    <w:rsid w:val="000D732C"/>
    <w:pPr>
      <w:spacing w:before="100" w:after="100" w:line="240" w:lineRule="auto"/>
    </w:pPr>
    <w:rPr>
      <w:rFonts w:ascii="Times New Roman" w:eastAsia="Calibri" w:hAnsi="Times New Roman" w:cs="Times New Roman"/>
      <w:sz w:val="24"/>
      <w:szCs w:val="20"/>
      <w:lang w:eastAsia="ru-RU"/>
    </w:rPr>
  </w:style>
  <w:style w:type="paragraph" w:customStyle="1" w:styleId="36">
    <w:name w:val="Стиль3"/>
    <w:basedOn w:val="10"/>
    <w:autoRedefine/>
    <w:rsid w:val="000D732C"/>
    <w:pPr>
      <w:keepNext w:val="0"/>
      <w:tabs>
        <w:tab w:val="clear" w:pos="1080"/>
      </w:tabs>
      <w:outlineLvl w:val="9"/>
    </w:pPr>
    <w:rPr>
      <w:b w:val="0"/>
      <w:bCs w:val="0"/>
      <w:color w:val="000000"/>
      <w:szCs w:val="20"/>
    </w:rPr>
  </w:style>
  <w:style w:type="paragraph" w:customStyle="1" w:styleId="affb">
    <w:name w:val="Заголовок к тексту"/>
    <w:basedOn w:val="a2"/>
    <w:rsid w:val="000D732C"/>
    <w:pPr>
      <w:ind w:right="5670"/>
    </w:pPr>
    <w:rPr>
      <w:b/>
      <w:sz w:val="20"/>
      <w:szCs w:val="20"/>
    </w:rPr>
  </w:style>
  <w:style w:type="paragraph" w:customStyle="1" w:styleId="affc">
    <w:name w:val="Визы согласования"/>
    <w:basedOn w:val="affb"/>
    <w:rsid w:val="000D732C"/>
    <w:rPr>
      <w:b w:val="0"/>
      <w:sz w:val="24"/>
    </w:rPr>
  </w:style>
  <w:style w:type="paragraph" w:customStyle="1" w:styleId="affd">
    <w:name w:val="Наименование должности"/>
    <w:basedOn w:val="affb"/>
    <w:rsid w:val="000D732C"/>
    <w:rPr>
      <w:b w:val="0"/>
    </w:rPr>
  </w:style>
  <w:style w:type="paragraph" w:customStyle="1" w:styleId="affe">
    <w:name w:val="Подпись визы согласования"/>
    <w:basedOn w:val="affd"/>
    <w:rsid w:val="000D732C"/>
    <w:rPr>
      <w:u w:val="single"/>
    </w:rPr>
  </w:style>
  <w:style w:type="paragraph" w:customStyle="1" w:styleId="afff">
    <w:name w:val="Слово подпись"/>
    <w:basedOn w:val="affd"/>
    <w:rsid w:val="000D732C"/>
    <w:pPr>
      <w:ind w:right="7938"/>
      <w:jc w:val="center"/>
    </w:pPr>
    <w:rPr>
      <w:vertAlign w:val="superscript"/>
    </w:rPr>
  </w:style>
  <w:style w:type="character" w:customStyle="1" w:styleId="afff0">
    <w:name w:val="Наименование документа Знак"/>
    <w:link w:val="afff1"/>
    <w:locked/>
    <w:rsid w:val="000D732C"/>
    <w:rPr>
      <w:rFonts w:ascii="Times New Roman" w:hAnsi="Times New Roman" w:cs="Times New Roman"/>
      <w:b/>
      <w:caps/>
      <w:sz w:val="24"/>
    </w:rPr>
  </w:style>
  <w:style w:type="paragraph" w:customStyle="1" w:styleId="afff1">
    <w:name w:val="Наименование документа"/>
    <w:basedOn w:val="a2"/>
    <w:link w:val="afff0"/>
    <w:rsid w:val="000D732C"/>
    <w:pPr>
      <w:jc w:val="both"/>
    </w:pPr>
    <w:rPr>
      <w:rFonts w:eastAsiaTheme="minorHAnsi"/>
      <w:b/>
      <w:caps/>
      <w:szCs w:val="22"/>
      <w:lang w:eastAsia="en-US"/>
    </w:rPr>
  </w:style>
  <w:style w:type="paragraph" w:customStyle="1" w:styleId="afff2">
    <w:name w:val="Адресат"/>
    <w:basedOn w:val="a2"/>
    <w:rsid w:val="000D732C"/>
    <w:rPr>
      <w:szCs w:val="20"/>
    </w:rPr>
  </w:style>
  <w:style w:type="paragraph" w:customStyle="1" w:styleId="14">
    <w:name w:val="Заголовок1"/>
    <w:basedOn w:val="a2"/>
    <w:rsid w:val="000D732C"/>
    <w:rPr>
      <w:b/>
      <w:szCs w:val="20"/>
    </w:rPr>
  </w:style>
  <w:style w:type="paragraph" w:customStyle="1" w:styleId="afff3">
    <w:name w:val="Исполнитель"/>
    <w:basedOn w:val="a2"/>
    <w:rsid w:val="000D732C"/>
    <w:pPr>
      <w:ind w:right="5670"/>
    </w:pPr>
    <w:rPr>
      <w:sz w:val="20"/>
      <w:szCs w:val="20"/>
    </w:rPr>
  </w:style>
  <w:style w:type="paragraph" w:customStyle="1" w:styleId="afff4">
    <w:name w:val="Приказываю"/>
    <w:basedOn w:val="affb"/>
    <w:rsid w:val="000D732C"/>
    <w:rPr>
      <w:sz w:val="24"/>
    </w:rPr>
  </w:style>
  <w:style w:type="paragraph" w:customStyle="1" w:styleId="311">
    <w:name w:val="заголовок 31"/>
    <w:basedOn w:val="a2"/>
    <w:next w:val="a2"/>
    <w:rsid w:val="000D732C"/>
    <w:pPr>
      <w:keepNext/>
      <w:jc w:val="center"/>
    </w:pPr>
    <w:rPr>
      <w:b/>
      <w:sz w:val="20"/>
      <w:szCs w:val="20"/>
    </w:rPr>
  </w:style>
  <w:style w:type="paragraph" w:customStyle="1" w:styleId="52">
    <w:name w:val="заголовок 5"/>
    <w:basedOn w:val="a2"/>
    <w:next w:val="a2"/>
    <w:rsid w:val="000D732C"/>
    <w:pPr>
      <w:keepNext/>
      <w:ind w:right="-58"/>
      <w:jc w:val="center"/>
    </w:pPr>
    <w:rPr>
      <w:b/>
      <w:sz w:val="22"/>
      <w:szCs w:val="20"/>
    </w:rPr>
  </w:style>
  <w:style w:type="paragraph" w:customStyle="1" w:styleId="111">
    <w:name w:val="заголовок 11"/>
    <w:basedOn w:val="a2"/>
    <w:next w:val="a2"/>
    <w:rsid w:val="000D732C"/>
    <w:pPr>
      <w:keepNext/>
      <w:ind w:right="-58"/>
      <w:jc w:val="right"/>
    </w:pPr>
    <w:rPr>
      <w:szCs w:val="20"/>
    </w:rPr>
  </w:style>
  <w:style w:type="paragraph" w:customStyle="1" w:styleId="afff5">
    <w:name w:val="текст примечания"/>
    <w:basedOn w:val="a2"/>
    <w:rsid w:val="000D732C"/>
    <w:rPr>
      <w:sz w:val="20"/>
      <w:szCs w:val="20"/>
    </w:rPr>
  </w:style>
  <w:style w:type="paragraph" w:customStyle="1" w:styleId="72">
    <w:name w:val="заголовок 7"/>
    <w:basedOn w:val="a2"/>
    <w:next w:val="a2"/>
    <w:rsid w:val="000D732C"/>
    <w:pPr>
      <w:keepNext/>
      <w:widowControl w:val="0"/>
      <w:ind w:right="-58"/>
    </w:pPr>
    <w:rPr>
      <w:b/>
      <w:sz w:val="22"/>
      <w:szCs w:val="20"/>
    </w:rPr>
  </w:style>
  <w:style w:type="paragraph" w:customStyle="1" w:styleId="420">
    <w:name w:val="заголовок 42"/>
    <w:basedOn w:val="a2"/>
    <w:next w:val="a2"/>
    <w:rsid w:val="000D732C"/>
    <w:pPr>
      <w:keepNext/>
      <w:widowControl w:val="0"/>
      <w:ind w:firstLine="720"/>
      <w:jc w:val="both"/>
    </w:pPr>
    <w:rPr>
      <w:sz w:val="22"/>
      <w:szCs w:val="20"/>
    </w:rPr>
  </w:style>
  <w:style w:type="paragraph" w:customStyle="1" w:styleId="62">
    <w:name w:val="заголовок 6"/>
    <w:basedOn w:val="a2"/>
    <w:next w:val="a2"/>
    <w:rsid w:val="000D732C"/>
    <w:pPr>
      <w:keepNext/>
      <w:jc w:val="center"/>
    </w:pPr>
    <w:rPr>
      <w:b/>
      <w:szCs w:val="20"/>
    </w:rPr>
  </w:style>
  <w:style w:type="paragraph" w:customStyle="1" w:styleId="1">
    <w:name w:val="Стиль1"/>
    <w:basedOn w:val="22"/>
    <w:rsid w:val="000D732C"/>
    <w:pPr>
      <w:numPr>
        <w:numId w:val="6"/>
      </w:numPr>
      <w:spacing w:after="0" w:line="240" w:lineRule="auto"/>
      <w:jc w:val="both"/>
    </w:pPr>
    <w:rPr>
      <w:b/>
      <w:szCs w:val="20"/>
      <w:lang w:eastAsia="en-US"/>
    </w:rPr>
  </w:style>
  <w:style w:type="paragraph" w:customStyle="1" w:styleId="27">
    <w:name w:val="Стиль2"/>
    <w:basedOn w:val="22"/>
    <w:autoRedefine/>
    <w:rsid w:val="000D732C"/>
    <w:pPr>
      <w:tabs>
        <w:tab w:val="num" w:pos="1872"/>
      </w:tabs>
      <w:spacing w:after="0" w:line="240" w:lineRule="auto"/>
      <w:ind w:left="1872" w:hanging="432"/>
      <w:jc w:val="both"/>
    </w:pPr>
    <w:rPr>
      <w:b/>
      <w:szCs w:val="20"/>
      <w:lang w:eastAsia="en-US"/>
    </w:rPr>
  </w:style>
  <w:style w:type="paragraph" w:customStyle="1" w:styleId="43">
    <w:name w:val="Стиль4"/>
    <w:basedOn w:val="27"/>
    <w:autoRedefine/>
    <w:rsid w:val="000D732C"/>
    <w:pPr>
      <w:tabs>
        <w:tab w:val="clear" w:pos="1872"/>
      </w:tabs>
      <w:ind w:left="0" w:firstLine="567"/>
    </w:pPr>
    <w:rPr>
      <w:b w:val="0"/>
      <w:szCs w:val="24"/>
      <w:lang w:eastAsia="ru-RU"/>
    </w:rPr>
  </w:style>
  <w:style w:type="paragraph" w:customStyle="1" w:styleId="a1">
    <w:name w:val="Мониторинг_часть"/>
    <w:basedOn w:val="a2"/>
    <w:autoRedefine/>
    <w:rsid w:val="000D732C"/>
    <w:pPr>
      <w:numPr>
        <w:numId w:val="7"/>
      </w:numPr>
      <w:tabs>
        <w:tab w:val="num" w:pos="360"/>
      </w:tabs>
      <w:spacing w:after="40"/>
      <w:jc w:val="both"/>
    </w:pPr>
    <w:rPr>
      <w:b/>
      <w:caps/>
      <w:sz w:val="28"/>
    </w:rPr>
  </w:style>
  <w:style w:type="paragraph" w:customStyle="1" w:styleId="15">
    <w:name w:val="Мониторинг_раздел1"/>
    <w:basedOn w:val="a2"/>
    <w:autoRedefine/>
    <w:rsid w:val="000D732C"/>
    <w:pPr>
      <w:tabs>
        <w:tab w:val="num" w:pos="360"/>
      </w:tabs>
      <w:spacing w:before="40" w:after="40"/>
      <w:ind w:left="360" w:hanging="360"/>
      <w:jc w:val="both"/>
    </w:pPr>
    <w:rPr>
      <w:b/>
      <w:smallCaps/>
    </w:rPr>
  </w:style>
  <w:style w:type="paragraph" w:customStyle="1" w:styleId="afff6">
    <w:name w:val="Мониторинг_пункт"/>
    <w:basedOn w:val="a2"/>
    <w:autoRedefine/>
    <w:rsid w:val="000D732C"/>
    <w:pPr>
      <w:ind w:firstLine="567"/>
      <w:jc w:val="both"/>
    </w:pPr>
    <w:rPr>
      <w:bCs/>
      <w:iCs/>
    </w:rPr>
  </w:style>
  <w:style w:type="paragraph" w:customStyle="1" w:styleId="ConsNormal">
    <w:name w:val="ConsNormal"/>
    <w:rsid w:val="000D732C"/>
    <w:pPr>
      <w:widowControl w:val="0"/>
      <w:spacing w:after="0" w:line="240" w:lineRule="auto"/>
      <w:ind w:firstLine="720"/>
    </w:pPr>
    <w:rPr>
      <w:rFonts w:ascii="Consultant" w:eastAsia="Calibri" w:hAnsi="Consultant" w:cs="Times New Roman"/>
      <w:sz w:val="20"/>
      <w:szCs w:val="20"/>
      <w:lang w:eastAsia="ru-RU"/>
    </w:rPr>
  </w:style>
  <w:style w:type="paragraph" w:customStyle="1" w:styleId="ListParagraph">
    <w:name w:val="List Paragraph"/>
    <w:basedOn w:val="a2"/>
    <w:rsid w:val="000D732C"/>
    <w:pPr>
      <w:ind w:left="720"/>
      <w:contextualSpacing/>
    </w:pPr>
  </w:style>
  <w:style w:type="paragraph" w:customStyle="1" w:styleId="afff7">
    <w:name w:val="Таблицы (моноширинный)"/>
    <w:basedOn w:val="a2"/>
    <w:next w:val="a2"/>
    <w:rsid w:val="000D732C"/>
    <w:pPr>
      <w:autoSpaceDE w:val="0"/>
      <w:autoSpaceDN w:val="0"/>
      <w:adjustRightInd w:val="0"/>
      <w:jc w:val="both"/>
    </w:pPr>
    <w:rPr>
      <w:rFonts w:ascii="Courier New" w:hAnsi="Courier New" w:cs="Courier New"/>
      <w:sz w:val="22"/>
      <w:szCs w:val="22"/>
    </w:rPr>
  </w:style>
  <w:style w:type="paragraph" w:customStyle="1" w:styleId="TOCHeading">
    <w:name w:val="TOC Heading"/>
    <w:basedOn w:val="10"/>
    <w:next w:val="a2"/>
    <w:rsid w:val="000D732C"/>
    <w:pPr>
      <w:keepLines/>
      <w:tabs>
        <w:tab w:val="clear" w:pos="1080"/>
      </w:tabs>
      <w:spacing w:before="480" w:line="276" w:lineRule="auto"/>
      <w:jc w:val="left"/>
      <w:outlineLvl w:val="9"/>
    </w:pPr>
    <w:rPr>
      <w:rFonts w:ascii="Cambria" w:eastAsia="SimSun" w:hAnsi="Cambria"/>
      <w:bCs w:val="0"/>
      <w:color w:val="365F91"/>
      <w:sz w:val="28"/>
      <w:szCs w:val="28"/>
    </w:rPr>
  </w:style>
  <w:style w:type="paragraph" w:customStyle="1" w:styleId="Iauiue">
    <w:name w:val="Iau?iue"/>
    <w:rsid w:val="000D732C"/>
    <w:pPr>
      <w:spacing w:after="0" w:line="240" w:lineRule="auto"/>
    </w:pPr>
    <w:rPr>
      <w:rFonts w:ascii="Times New Roman" w:eastAsia="Calibri" w:hAnsi="Times New Roman" w:cs="Times New Roman"/>
      <w:sz w:val="20"/>
      <w:szCs w:val="20"/>
      <w:lang w:val="en-GB" w:eastAsia="ru-RU"/>
    </w:rPr>
  </w:style>
  <w:style w:type="paragraph" w:customStyle="1" w:styleId="ConsTitle">
    <w:name w:val="ConsTitle"/>
    <w:rsid w:val="000D732C"/>
    <w:pPr>
      <w:widowControl w:val="0"/>
      <w:spacing w:after="0" w:line="240" w:lineRule="auto"/>
    </w:pPr>
    <w:rPr>
      <w:rFonts w:ascii="Arial" w:eastAsia="Calibri" w:hAnsi="Arial" w:cs="Times New Roman"/>
      <w:b/>
      <w:szCs w:val="20"/>
      <w:lang w:eastAsia="ru-RU"/>
    </w:rPr>
  </w:style>
  <w:style w:type="paragraph" w:customStyle="1" w:styleId="ConsNonformat">
    <w:name w:val="ConsNonformat"/>
    <w:rsid w:val="000D732C"/>
    <w:pPr>
      <w:widowControl w:val="0"/>
      <w:spacing w:after="0" w:line="240" w:lineRule="auto"/>
    </w:pPr>
    <w:rPr>
      <w:rFonts w:ascii="Courier New" w:eastAsia="Calibri" w:hAnsi="Courier New" w:cs="Times New Roman"/>
      <w:sz w:val="28"/>
      <w:szCs w:val="20"/>
      <w:lang w:eastAsia="ru-RU"/>
    </w:rPr>
  </w:style>
  <w:style w:type="paragraph" w:customStyle="1" w:styleId="ConsCell">
    <w:name w:val="ConsCell"/>
    <w:rsid w:val="000D732C"/>
    <w:pPr>
      <w:widowControl w:val="0"/>
      <w:spacing w:after="0" w:line="240" w:lineRule="auto"/>
    </w:pPr>
    <w:rPr>
      <w:rFonts w:ascii="Arial" w:eastAsia="Calibri" w:hAnsi="Arial" w:cs="Times New Roman"/>
      <w:sz w:val="28"/>
      <w:szCs w:val="20"/>
      <w:lang w:eastAsia="ru-RU"/>
    </w:rPr>
  </w:style>
  <w:style w:type="paragraph" w:customStyle="1" w:styleId="afff8">
    <w:name w:val="Ромин список"/>
    <w:basedOn w:val="a2"/>
    <w:rsid w:val="000D732C"/>
    <w:pPr>
      <w:tabs>
        <w:tab w:val="num" w:pos="360"/>
        <w:tab w:val="num" w:pos="709"/>
      </w:tabs>
      <w:ind w:left="709" w:right="-91" w:hanging="284"/>
      <w:jc w:val="both"/>
    </w:pPr>
    <w:rPr>
      <w:i/>
      <w:szCs w:val="20"/>
    </w:rPr>
  </w:style>
  <w:style w:type="paragraph" w:customStyle="1" w:styleId="afff9">
    <w:name w:val="Олина таблица"/>
    <w:basedOn w:val="a2"/>
    <w:rsid w:val="000D732C"/>
    <w:pPr>
      <w:keepNext/>
      <w:ind w:right="-92"/>
      <w:jc w:val="both"/>
    </w:pPr>
    <w:rPr>
      <w:b/>
      <w:color w:val="000000"/>
      <w:sz w:val="28"/>
      <w:szCs w:val="20"/>
    </w:rPr>
  </w:style>
  <w:style w:type="paragraph" w:customStyle="1" w:styleId="FR1">
    <w:name w:val="FR1"/>
    <w:rsid w:val="000D732C"/>
    <w:pPr>
      <w:widowControl w:val="0"/>
      <w:spacing w:after="0" w:line="278" w:lineRule="auto"/>
    </w:pPr>
    <w:rPr>
      <w:rFonts w:ascii="Times New Roman" w:eastAsia="Calibri" w:hAnsi="Times New Roman" w:cs="Times New Roman"/>
      <w:sz w:val="20"/>
      <w:szCs w:val="20"/>
    </w:rPr>
  </w:style>
  <w:style w:type="paragraph" w:customStyle="1" w:styleId="fcb">
    <w:name w:val="Обычнуfcbй"/>
    <w:rsid w:val="000D732C"/>
    <w:pPr>
      <w:widowControl w:val="0"/>
      <w:spacing w:after="0" w:line="240" w:lineRule="auto"/>
    </w:pPr>
    <w:rPr>
      <w:rFonts w:ascii="Times New Roman" w:eastAsia="Calibri" w:hAnsi="Times New Roman" w:cs="Times New Roman"/>
      <w:sz w:val="20"/>
      <w:szCs w:val="20"/>
      <w:lang w:eastAsia="ru-RU"/>
    </w:rPr>
  </w:style>
  <w:style w:type="paragraph" w:customStyle="1" w:styleId="28">
    <w:name w:val="заголовок 2"/>
    <w:basedOn w:val="a2"/>
    <w:next w:val="a2"/>
    <w:rsid w:val="000D732C"/>
    <w:pPr>
      <w:keepNext/>
      <w:widowControl w:val="0"/>
      <w:shd w:val="pct10" w:color="auto" w:fill="auto"/>
      <w:spacing w:after="120"/>
    </w:pPr>
    <w:rPr>
      <w:rFonts w:ascii="Arial" w:hAnsi="Arial"/>
      <w:b/>
      <w:caps/>
      <w:sz w:val="20"/>
      <w:szCs w:val="20"/>
    </w:rPr>
  </w:style>
  <w:style w:type="paragraph" w:customStyle="1" w:styleId="MainText">
    <w:name w:val="MainText"/>
    <w:rsid w:val="000D732C"/>
    <w:pPr>
      <w:spacing w:after="0" w:line="240" w:lineRule="auto"/>
      <w:ind w:firstLine="567"/>
      <w:jc w:val="both"/>
    </w:pPr>
    <w:rPr>
      <w:rFonts w:ascii="PragmaticaC" w:eastAsia="Calibri" w:hAnsi="PragmaticaC" w:cs="Times New Roman"/>
      <w:color w:val="000000"/>
      <w:sz w:val="19"/>
      <w:szCs w:val="20"/>
      <w:lang w:val="en-US" w:eastAsia="ru-RU"/>
    </w:rPr>
  </w:style>
  <w:style w:type="paragraph" w:customStyle="1" w:styleId="Inioaeno">
    <w:name w:val="Ini. oaeno"/>
    <w:rsid w:val="000D732C"/>
    <w:pPr>
      <w:spacing w:after="0" w:line="240" w:lineRule="auto"/>
      <w:ind w:firstLine="567"/>
      <w:jc w:val="both"/>
    </w:pPr>
    <w:rPr>
      <w:rFonts w:ascii="Pragmatica" w:eastAsia="Calibri" w:hAnsi="Pragmatica" w:cs="Times New Roman"/>
      <w:color w:val="000000"/>
      <w:sz w:val="20"/>
      <w:szCs w:val="20"/>
      <w:lang w:val="en-US" w:eastAsia="ru-RU"/>
    </w:rPr>
  </w:style>
  <w:style w:type="paragraph" w:customStyle="1" w:styleId="MainText-BezOtstupa">
    <w:name w:val="MainText - BezOtstupa"/>
    <w:basedOn w:val="MainText"/>
    <w:next w:val="MainText"/>
    <w:rsid w:val="000D732C"/>
    <w:pPr>
      <w:ind w:firstLine="0"/>
    </w:pPr>
  </w:style>
  <w:style w:type="paragraph" w:customStyle="1" w:styleId="FR3">
    <w:name w:val="FR3"/>
    <w:rsid w:val="000D732C"/>
    <w:pPr>
      <w:widowControl w:val="0"/>
      <w:spacing w:after="0" w:line="240" w:lineRule="auto"/>
      <w:ind w:left="720"/>
      <w:jc w:val="both"/>
    </w:pPr>
    <w:rPr>
      <w:rFonts w:ascii="Arial" w:eastAsia="Calibri" w:hAnsi="Arial" w:cs="Times New Roman"/>
      <w:sz w:val="24"/>
      <w:szCs w:val="20"/>
      <w:lang w:eastAsia="ru-RU"/>
    </w:rPr>
  </w:style>
  <w:style w:type="paragraph" w:customStyle="1" w:styleId="29">
    <w:name w:val="Обычный2"/>
    <w:rsid w:val="000D732C"/>
    <w:pPr>
      <w:spacing w:after="0" w:line="240" w:lineRule="auto"/>
    </w:pPr>
    <w:rPr>
      <w:rFonts w:ascii="Times New Roman" w:eastAsia="Calibri" w:hAnsi="Times New Roman" w:cs="Times New Roman"/>
      <w:sz w:val="20"/>
      <w:szCs w:val="20"/>
      <w:lang w:eastAsia="ru-RU"/>
    </w:rPr>
  </w:style>
  <w:style w:type="paragraph" w:customStyle="1" w:styleId="afffa">
    <w:name w:val="Текстовый"/>
    <w:rsid w:val="000D732C"/>
    <w:pPr>
      <w:widowControl w:val="0"/>
      <w:spacing w:after="0" w:line="240" w:lineRule="auto"/>
      <w:jc w:val="both"/>
    </w:pPr>
    <w:rPr>
      <w:rFonts w:ascii="Arial" w:eastAsia="Calibri" w:hAnsi="Arial" w:cs="Times New Roman"/>
      <w:sz w:val="20"/>
      <w:szCs w:val="20"/>
      <w:lang w:eastAsia="ru-RU"/>
    </w:rPr>
  </w:style>
  <w:style w:type="paragraph" w:customStyle="1" w:styleId="ConsPlusCell">
    <w:name w:val="ConsPlusCell"/>
    <w:rsid w:val="000D732C"/>
    <w:pPr>
      <w:autoSpaceDE w:val="0"/>
      <w:autoSpaceDN w:val="0"/>
      <w:adjustRightInd w:val="0"/>
      <w:spacing w:after="0" w:line="240" w:lineRule="auto"/>
    </w:pPr>
    <w:rPr>
      <w:rFonts w:ascii="Arial" w:eastAsia="Calibri" w:hAnsi="Arial" w:cs="Arial"/>
      <w:sz w:val="20"/>
      <w:szCs w:val="20"/>
      <w:lang w:eastAsia="ru-RU"/>
    </w:rPr>
  </w:style>
  <w:style w:type="paragraph" w:customStyle="1" w:styleId="afffb">
    <w:name w:val="ПунктЖ"/>
    <w:basedOn w:val="a2"/>
    <w:rsid w:val="000D732C"/>
    <w:pPr>
      <w:tabs>
        <w:tab w:val="left" w:pos="3402"/>
        <w:tab w:val="left" w:pos="8505"/>
      </w:tabs>
      <w:spacing w:after="120"/>
    </w:pPr>
    <w:rPr>
      <w:b/>
      <w:sz w:val="20"/>
      <w:szCs w:val="20"/>
    </w:rPr>
  </w:style>
  <w:style w:type="paragraph" w:customStyle="1" w:styleId="afffc">
    <w:name w:val="???????"/>
    <w:rsid w:val="000D732C"/>
    <w:pPr>
      <w:spacing w:after="0" w:line="240" w:lineRule="auto"/>
    </w:pPr>
    <w:rPr>
      <w:rFonts w:ascii="Times New Roman" w:eastAsia="Calibri" w:hAnsi="Times New Roman" w:cs="Times New Roman"/>
      <w:sz w:val="20"/>
      <w:szCs w:val="20"/>
      <w:lang w:eastAsia="ru-RU"/>
    </w:rPr>
  </w:style>
  <w:style w:type="paragraph" w:customStyle="1" w:styleId="ConsPlusNonformat">
    <w:name w:val="ConsPlusNonformat"/>
    <w:rsid w:val="000D732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0D732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msonormal0">
    <w:name w:val="msonormal"/>
    <w:basedOn w:val="a2"/>
    <w:rsid w:val="000D732C"/>
    <w:pPr>
      <w:spacing w:before="100" w:beforeAutospacing="1" w:after="100" w:afterAutospacing="1"/>
    </w:pPr>
  </w:style>
  <w:style w:type="paragraph" w:customStyle="1" w:styleId="font5">
    <w:name w:val="font5"/>
    <w:basedOn w:val="a2"/>
    <w:rsid w:val="000D732C"/>
    <w:pPr>
      <w:spacing w:before="100" w:beforeAutospacing="1" w:after="100" w:afterAutospacing="1"/>
    </w:pPr>
    <w:rPr>
      <w:rFonts w:ascii="Tahoma" w:hAnsi="Tahoma" w:cs="Tahoma"/>
      <w:color w:val="000000"/>
      <w:sz w:val="18"/>
      <w:szCs w:val="18"/>
    </w:rPr>
  </w:style>
  <w:style w:type="paragraph" w:customStyle="1" w:styleId="font6">
    <w:name w:val="font6"/>
    <w:basedOn w:val="a2"/>
    <w:rsid w:val="000D732C"/>
    <w:pPr>
      <w:spacing w:before="100" w:beforeAutospacing="1" w:after="100" w:afterAutospacing="1"/>
    </w:pPr>
    <w:rPr>
      <w:rFonts w:ascii="Calibri" w:hAnsi="Calibri" w:cs="Calibri"/>
      <w:b/>
      <w:bCs/>
      <w:color w:val="000000"/>
    </w:rPr>
  </w:style>
  <w:style w:type="paragraph" w:customStyle="1" w:styleId="xl68">
    <w:name w:val="xl68"/>
    <w:basedOn w:val="a2"/>
    <w:rsid w:val="000D732C"/>
    <w:pPr>
      <w:shd w:val="clear" w:color="auto" w:fill="FFFFFF"/>
      <w:spacing w:before="100" w:beforeAutospacing="1" w:after="100" w:afterAutospacing="1"/>
    </w:pPr>
  </w:style>
  <w:style w:type="paragraph" w:customStyle="1" w:styleId="xl69">
    <w:name w:val="xl69"/>
    <w:basedOn w:val="a2"/>
    <w:rsid w:val="000D732C"/>
    <w:pPr>
      <w:shd w:val="clear" w:color="auto" w:fill="FFFFFF"/>
      <w:spacing w:before="100" w:beforeAutospacing="1" w:after="100" w:afterAutospacing="1"/>
      <w:jc w:val="right"/>
    </w:pPr>
  </w:style>
  <w:style w:type="paragraph" w:customStyle="1" w:styleId="xl70">
    <w:name w:val="xl70"/>
    <w:basedOn w:val="a2"/>
    <w:rsid w:val="000D732C"/>
    <w:pPr>
      <w:shd w:val="clear" w:color="auto" w:fill="FFFFFF"/>
      <w:spacing w:before="100" w:beforeAutospacing="1" w:after="100" w:afterAutospacing="1"/>
      <w:jc w:val="right"/>
    </w:pPr>
    <w:rPr>
      <w:sz w:val="20"/>
      <w:szCs w:val="20"/>
    </w:rPr>
  </w:style>
  <w:style w:type="paragraph" w:customStyle="1" w:styleId="xl71">
    <w:name w:val="xl71"/>
    <w:basedOn w:val="a2"/>
    <w:rsid w:val="000D732C"/>
    <w:pPr>
      <w:pBdr>
        <w:top w:val="single" w:sz="4" w:space="0" w:color="auto"/>
        <w:left w:val="single" w:sz="4" w:space="0" w:color="auto"/>
        <w:bottom w:val="single" w:sz="4" w:space="0" w:color="auto"/>
      </w:pBdr>
      <w:shd w:val="clear" w:color="auto" w:fill="E2EFDA"/>
      <w:spacing w:before="100" w:beforeAutospacing="1" w:after="100" w:afterAutospacing="1"/>
    </w:pPr>
    <w:rPr>
      <w:b/>
      <w:bCs/>
    </w:rPr>
  </w:style>
  <w:style w:type="paragraph" w:customStyle="1" w:styleId="xl72">
    <w:name w:val="xl72"/>
    <w:basedOn w:val="a2"/>
    <w:rsid w:val="000D732C"/>
    <w:pPr>
      <w:pBdr>
        <w:top w:val="single" w:sz="4" w:space="0" w:color="auto"/>
        <w:bottom w:val="single" w:sz="4" w:space="0" w:color="auto"/>
      </w:pBdr>
      <w:shd w:val="clear" w:color="auto" w:fill="E2EFDA"/>
      <w:spacing w:before="100" w:beforeAutospacing="1" w:after="100" w:afterAutospacing="1"/>
      <w:jc w:val="center"/>
    </w:pPr>
    <w:rPr>
      <w:b/>
      <w:bCs/>
    </w:rPr>
  </w:style>
  <w:style w:type="paragraph" w:customStyle="1" w:styleId="xl73">
    <w:name w:val="xl73"/>
    <w:basedOn w:val="a2"/>
    <w:rsid w:val="000D732C"/>
    <w:pPr>
      <w:pBdr>
        <w:top w:val="single" w:sz="4" w:space="0" w:color="auto"/>
        <w:bottom w:val="single" w:sz="4" w:space="0" w:color="auto"/>
      </w:pBdr>
      <w:shd w:val="clear" w:color="auto" w:fill="E2EFDA"/>
      <w:spacing w:before="100" w:beforeAutospacing="1" w:after="100" w:afterAutospacing="1"/>
    </w:pPr>
    <w:rPr>
      <w:b/>
      <w:bCs/>
    </w:rPr>
  </w:style>
  <w:style w:type="paragraph" w:customStyle="1" w:styleId="xl74">
    <w:name w:val="xl74"/>
    <w:basedOn w:val="a2"/>
    <w:rsid w:val="000D732C"/>
    <w:pPr>
      <w:pBdr>
        <w:top w:val="single" w:sz="4" w:space="0" w:color="auto"/>
      </w:pBdr>
      <w:shd w:val="clear" w:color="auto" w:fill="D9E1F2"/>
      <w:spacing w:before="100" w:beforeAutospacing="1" w:after="100" w:afterAutospacing="1"/>
    </w:pPr>
  </w:style>
  <w:style w:type="paragraph" w:customStyle="1" w:styleId="xl75">
    <w:name w:val="xl75"/>
    <w:basedOn w:val="a2"/>
    <w:rsid w:val="000D732C"/>
    <w:pPr>
      <w:pBdr>
        <w:top w:val="single" w:sz="4" w:space="0" w:color="auto"/>
        <w:right w:val="single" w:sz="4" w:space="0" w:color="auto"/>
      </w:pBdr>
      <w:shd w:val="clear" w:color="auto" w:fill="D9E1F2"/>
      <w:spacing w:before="100" w:beforeAutospacing="1" w:after="100" w:afterAutospacing="1"/>
    </w:pPr>
  </w:style>
  <w:style w:type="paragraph" w:customStyle="1" w:styleId="xl76">
    <w:name w:val="xl76"/>
    <w:basedOn w:val="a2"/>
    <w:rsid w:val="000D732C"/>
    <w:pPr>
      <w:shd w:val="clear" w:color="auto" w:fill="FFFFFF"/>
      <w:spacing w:before="100" w:beforeAutospacing="1" w:after="100" w:afterAutospacing="1"/>
    </w:pPr>
  </w:style>
  <w:style w:type="paragraph" w:customStyle="1" w:styleId="xl77">
    <w:name w:val="xl77"/>
    <w:basedOn w:val="a2"/>
    <w:rsid w:val="000D732C"/>
    <w:pPr>
      <w:shd w:val="clear" w:color="auto" w:fill="FFFFFF"/>
      <w:spacing w:before="100" w:beforeAutospacing="1" w:after="100" w:afterAutospacing="1"/>
    </w:pPr>
  </w:style>
  <w:style w:type="paragraph" w:customStyle="1" w:styleId="xl78">
    <w:name w:val="xl78"/>
    <w:basedOn w:val="a2"/>
    <w:rsid w:val="000D732C"/>
    <w:pPr>
      <w:shd w:val="clear" w:color="auto" w:fill="FFFFFF"/>
      <w:spacing w:before="100" w:beforeAutospacing="1" w:after="100" w:afterAutospacing="1"/>
    </w:pPr>
    <w:rPr>
      <w:b/>
      <w:bCs/>
    </w:rPr>
  </w:style>
  <w:style w:type="paragraph" w:customStyle="1" w:styleId="xl79">
    <w:name w:val="xl79"/>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2"/>
    <w:rsid w:val="000D732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3">
    <w:name w:val="xl83"/>
    <w:basedOn w:val="a2"/>
    <w:rsid w:val="000D732C"/>
    <w:pPr>
      <w:pBdr>
        <w:top w:val="single" w:sz="4" w:space="0" w:color="auto"/>
        <w:bottom w:val="single" w:sz="4" w:space="0" w:color="auto"/>
      </w:pBdr>
      <w:spacing w:before="100" w:beforeAutospacing="1" w:after="100" w:afterAutospacing="1"/>
    </w:pPr>
    <w:rPr>
      <w:b/>
      <w:bCs/>
    </w:rPr>
  </w:style>
  <w:style w:type="paragraph" w:customStyle="1" w:styleId="xl84">
    <w:name w:val="xl84"/>
    <w:basedOn w:val="a2"/>
    <w:rsid w:val="000D732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2"/>
    <w:rsid w:val="000D732C"/>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pPr>
    <w:rPr>
      <w:b/>
      <w:bCs/>
    </w:rPr>
  </w:style>
  <w:style w:type="paragraph" w:customStyle="1" w:styleId="xl86">
    <w:name w:val="xl86"/>
    <w:basedOn w:val="a2"/>
    <w:rsid w:val="000D732C"/>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jc w:val="center"/>
    </w:pPr>
    <w:rPr>
      <w:b/>
      <w:bCs/>
    </w:rPr>
  </w:style>
  <w:style w:type="paragraph" w:customStyle="1" w:styleId="xl87">
    <w:name w:val="xl87"/>
    <w:basedOn w:val="a2"/>
    <w:rsid w:val="000D732C"/>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pPr>
    <w:rPr>
      <w:b/>
      <w:bCs/>
    </w:rPr>
  </w:style>
  <w:style w:type="paragraph" w:customStyle="1" w:styleId="xl88">
    <w:name w:val="xl88"/>
    <w:basedOn w:val="a2"/>
    <w:rsid w:val="000D732C"/>
    <w:pPr>
      <w:shd w:val="clear" w:color="auto" w:fill="FFFFFF"/>
      <w:spacing w:before="100" w:beforeAutospacing="1" w:after="100" w:afterAutospacing="1"/>
    </w:pPr>
    <w:rPr>
      <w:sz w:val="28"/>
      <w:szCs w:val="28"/>
    </w:rPr>
  </w:style>
  <w:style w:type="paragraph" w:customStyle="1" w:styleId="xl89">
    <w:name w:val="xl89"/>
    <w:basedOn w:val="a2"/>
    <w:rsid w:val="000D73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0">
    <w:name w:val="xl90"/>
    <w:basedOn w:val="a2"/>
    <w:rsid w:val="000D732C"/>
    <w:pPr>
      <w:pBdr>
        <w:top w:val="single" w:sz="4" w:space="0" w:color="auto"/>
        <w:left w:val="single" w:sz="4" w:space="0" w:color="auto"/>
      </w:pBdr>
      <w:shd w:val="clear" w:color="auto" w:fill="D9E1F2"/>
      <w:spacing w:before="100" w:beforeAutospacing="1" w:after="100" w:afterAutospacing="1"/>
    </w:pPr>
  </w:style>
  <w:style w:type="paragraph" w:customStyle="1" w:styleId="xl91">
    <w:name w:val="xl91"/>
    <w:basedOn w:val="a2"/>
    <w:rsid w:val="000D732C"/>
    <w:pPr>
      <w:pBdr>
        <w:top w:val="single" w:sz="4" w:space="0" w:color="auto"/>
      </w:pBdr>
      <w:shd w:val="clear" w:color="auto" w:fill="D9E1F2"/>
      <w:spacing w:before="100" w:beforeAutospacing="1" w:after="100" w:afterAutospacing="1"/>
      <w:jc w:val="center"/>
    </w:pPr>
  </w:style>
  <w:style w:type="paragraph" w:customStyle="1" w:styleId="xl92">
    <w:name w:val="xl92"/>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2"/>
    <w:rsid w:val="000D732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a2"/>
    <w:rsid w:val="000D732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8">
    <w:name w:val="xl98"/>
    <w:basedOn w:val="a2"/>
    <w:rsid w:val="000D732C"/>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pPr>
    <w:rPr>
      <w:b/>
      <w:bCs/>
    </w:rPr>
  </w:style>
  <w:style w:type="paragraph" w:customStyle="1" w:styleId="xl99">
    <w:name w:val="xl99"/>
    <w:basedOn w:val="a2"/>
    <w:rsid w:val="000D732C"/>
    <w:pPr>
      <w:pBdr>
        <w:top w:val="single" w:sz="4" w:space="0" w:color="auto"/>
        <w:left w:val="single" w:sz="4" w:space="0" w:color="auto"/>
        <w:bottom w:val="single" w:sz="4" w:space="0" w:color="auto"/>
      </w:pBdr>
      <w:spacing w:before="100" w:beforeAutospacing="1" w:after="100" w:afterAutospacing="1"/>
    </w:pPr>
  </w:style>
  <w:style w:type="paragraph" w:customStyle="1" w:styleId="xl100">
    <w:name w:val="xl100"/>
    <w:basedOn w:val="a2"/>
    <w:rsid w:val="000D732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1">
    <w:name w:val="xl101"/>
    <w:basedOn w:val="a2"/>
    <w:rsid w:val="000D732C"/>
    <w:pPr>
      <w:pBdr>
        <w:top w:val="single" w:sz="4" w:space="0" w:color="auto"/>
        <w:left w:val="single" w:sz="4" w:space="0" w:color="auto"/>
        <w:bottom w:val="single" w:sz="4" w:space="0" w:color="auto"/>
      </w:pBdr>
      <w:shd w:val="clear" w:color="auto" w:fill="FCE4D6"/>
      <w:spacing w:before="100" w:beforeAutospacing="1" w:after="100" w:afterAutospacing="1"/>
    </w:pPr>
    <w:rPr>
      <w:b/>
      <w:bCs/>
    </w:rPr>
  </w:style>
  <w:style w:type="paragraph" w:customStyle="1" w:styleId="xl102">
    <w:name w:val="xl102"/>
    <w:basedOn w:val="a2"/>
    <w:rsid w:val="000D732C"/>
    <w:pPr>
      <w:pBdr>
        <w:top w:val="single" w:sz="4" w:space="0" w:color="auto"/>
        <w:left w:val="single" w:sz="4" w:space="0" w:color="auto"/>
      </w:pBdr>
      <w:shd w:val="clear" w:color="auto" w:fill="D9E1F2"/>
      <w:spacing w:before="100" w:beforeAutospacing="1" w:after="100" w:afterAutospacing="1"/>
      <w:jc w:val="center"/>
    </w:pPr>
  </w:style>
  <w:style w:type="paragraph" w:customStyle="1" w:styleId="xl103">
    <w:name w:val="xl103"/>
    <w:basedOn w:val="a2"/>
    <w:rsid w:val="000D732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4">
    <w:name w:val="xl104"/>
    <w:basedOn w:val="a2"/>
    <w:rsid w:val="000D73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5">
    <w:name w:val="xl105"/>
    <w:basedOn w:val="a2"/>
    <w:rsid w:val="000D732C"/>
    <w:pPr>
      <w:shd w:val="clear" w:color="auto" w:fill="FFFFFF"/>
      <w:spacing w:before="100" w:beforeAutospacing="1" w:after="100" w:afterAutospacing="1"/>
    </w:pPr>
  </w:style>
  <w:style w:type="paragraph" w:customStyle="1" w:styleId="xl106">
    <w:name w:val="xl106"/>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2"/>
    <w:rsid w:val="000D732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2"/>
    <w:rsid w:val="000D732C"/>
    <w:pPr>
      <w:pBdr>
        <w:top w:val="single" w:sz="4" w:space="0" w:color="auto"/>
        <w:right w:val="single" w:sz="4" w:space="0" w:color="auto"/>
      </w:pBdr>
      <w:shd w:val="clear" w:color="auto" w:fill="D9E1F2"/>
      <w:spacing w:before="100" w:beforeAutospacing="1" w:after="100" w:afterAutospacing="1"/>
    </w:pPr>
  </w:style>
  <w:style w:type="paragraph" w:customStyle="1" w:styleId="xl110">
    <w:name w:val="xl110"/>
    <w:basedOn w:val="a2"/>
    <w:rsid w:val="000D732C"/>
    <w:pPr>
      <w:shd w:val="clear" w:color="auto" w:fill="FFFFFF"/>
      <w:spacing w:before="100" w:beforeAutospacing="1" w:after="100" w:afterAutospacing="1"/>
    </w:pPr>
    <w:rPr>
      <w:sz w:val="28"/>
      <w:szCs w:val="28"/>
    </w:rPr>
  </w:style>
  <w:style w:type="paragraph" w:customStyle="1" w:styleId="xl111">
    <w:name w:val="xl111"/>
    <w:basedOn w:val="a2"/>
    <w:rsid w:val="000D73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2">
    <w:name w:val="xl112"/>
    <w:basedOn w:val="a2"/>
    <w:rsid w:val="000D732C"/>
    <w:pPr>
      <w:pBdr>
        <w:top w:val="single" w:sz="4" w:space="0" w:color="auto"/>
        <w:bottom w:val="single" w:sz="4" w:space="0" w:color="auto"/>
      </w:pBdr>
      <w:shd w:val="clear" w:color="auto" w:fill="E2EFDA"/>
      <w:spacing w:before="100" w:beforeAutospacing="1" w:after="100" w:afterAutospacing="1"/>
    </w:pPr>
    <w:rPr>
      <w:b/>
      <w:bCs/>
    </w:rPr>
  </w:style>
  <w:style w:type="paragraph" w:customStyle="1" w:styleId="xl113">
    <w:name w:val="xl113"/>
    <w:basedOn w:val="a2"/>
    <w:rsid w:val="000D732C"/>
    <w:pPr>
      <w:pBdr>
        <w:top w:val="single" w:sz="4" w:space="0" w:color="auto"/>
      </w:pBdr>
      <w:shd w:val="clear" w:color="auto" w:fill="D9E1F2"/>
      <w:spacing w:before="100" w:beforeAutospacing="1" w:after="100" w:afterAutospacing="1"/>
    </w:pPr>
  </w:style>
  <w:style w:type="paragraph" w:customStyle="1" w:styleId="xl114">
    <w:name w:val="xl114"/>
    <w:basedOn w:val="a2"/>
    <w:rsid w:val="000D732C"/>
    <w:pPr>
      <w:pBdr>
        <w:bottom w:val="single" w:sz="4" w:space="0" w:color="auto"/>
      </w:pBdr>
      <w:shd w:val="clear" w:color="auto" w:fill="FFFFFF"/>
      <w:spacing w:before="100" w:beforeAutospacing="1" w:after="100" w:afterAutospacing="1"/>
    </w:pPr>
  </w:style>
  <w:style w:type="paragraph" w:customStyle="1" w:styleId="xl115">
    <w:name w:val="xl115"/>
    <w:basedOn w:val="a2"/>
    <w:rsid w:val="000D732C"/>
    <w:pPr>
      <w:pBdr>
        <w:bottom w:val="single" w:sz="4" w:space="0" w:color="auto"/>
        <w:right w:val="single" w:sz="4" w:space="0" w:color="auto"/>
      </w:pBdr>
      <w:shd w:val="clear" w:color="auto" w:fill="FFFFFF"/>
      <w:spacing w:before="100" w:beforeAutospacing="1" w:after="100" w:afterAutospacing="1"/>
    </w:pPr>
  </w:style>
  <w:style w:type="paragraph" w:customStyle="1" w:styleId="xl116">
    <w:name w:val="xl116"/>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8">
    <w:name w:val="xl118"/>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a2"/>
    <w:rsid w:val="000D732C"/>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pPr>
    <w:rPr>
      <w:b/>
      <w:bCs/>
    </w:rPr>
  </w:style>
  <w:style w:type="paragraph" w:customStyle="1" w:styleId="xl120">
    <w:name w:val="xl120"/>
    <w:basedOn w:val="a2"/>
    <w:rsid w:val="000D732C"/>
    <w:pPr>
      <w:shd w:val="clear" w:color="auto" w:fill="FFFFFF"/>
      <w:spacing w:before="100" w:beforeAutospacing="1" w:after="100" w:afterAutospacing="1"/>
    </w:pPr>
    <w:rPr>
      <w:color w:val="0563C1"/>
      <w:u w:val="single"/>
    </w:rPr>
  </w:style>
  <w:style w:type="paragraph" w:customStyle="1" w:styleId="xl121">
    <w:name w:val="xl121"/>
    <w:basedOn w:val="a2"/>
    <w:rsid w:val="000D73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2">
    <w:name w:val="xl122"/>
    <w:basedOn w:val="a2"/>
    <w:rsid w:val="000D73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3">
    <w:name w:val="xl123"/>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a2"/>
    <w:rsid w:val="000D732C"/>
    <w:pPr>
      <w:pBdr>
        <w:top w:val="single" w:sz="4" w:space="0" w:color="auto"/>
        <w:left w:val="single" w:sz="4" w:space="0" w:color="auto"/>
        <w:bottom w:val="single" w:sz="4" w:space="0" w:color="auto"/>
      </w:pBdr>
      <w:spacing w:before="100" w:beforeAutospacing="1" w:after="100" w:afterAutospacing="1"/>
    </w:pPr>
  </w:style>
  <w:style w:type="paragraph" w:customStyle="1" w:styleId="xl125">
    <w:name w:val="xl125"/>
    <w:basedOn w:val="a2"/>
    <w:rsid w:val="000D73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6">
    <w:name w:val="xl126"/>
    <w:basedOn w:val="a2"/>
    <w:rsid w:val="000D732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127">
    <w:name w:val="xl127"/>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2"/>
    <w:rsid w:val="000D73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9">
    <w:name w:val="xl129"/>
    <w:basedOn w:val="a2"/>
    <w:rsid w:val="000D732C"/>
    <w:pPr>
      <w:shd w:val="clear" w:color="auto" w:fill="92D050"/>
      <w:spacing w:before="100" w:beforeAutospacing="1" w:after="100" w:afterAutospacing="1"/>
    </w:pPr>
  </w:style>
  <w:style w:type="paragraph" w:customStyle="1" w:styleId="xl130">
    <w:name w:val="xl130"/>
    <w:basedOn w:val="a2"/>
    <w:rsid w:val="000D73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31">
    <w:name w:val="xl131"/>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32">
    <w:name w:val="xl132"/>
    <w:basedOn w:val="a2"/>
    <w:rsid w:val="000D732C"/>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133">
    <w:name w:val="xl133"/>
    <w:basedOn w:val="a2"/>
    <w:rsid w:val="000D732C"/>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35">
    <w:name w:val="xl135"/>
    <w:basedOn w:val="a2"/>
    <w:rsid w:val="000D732C"/>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2"/>
    <w:rsid w:val="000D732C"/>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7">
    <w:name w:val="xl137"/>
    <w:basedOn w:val="a2"/>
    <w:rsid w:val="000D732C"/>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38">
    <w:name w:val="xl138"/>
    <w:basedOn w:val="a2"/>
    <w:rsid w:val="000D73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character" w:styleId="afffd">
    <w:name w:val="footnote reference"/>
    <w:semiHidden/>
    <w:unhideWhenUsed/>
    <w:rsid w:val="000D732C"/>
    <w:rPr>
      <w:vertAlign w:val="superscript"/>
    </w:rPr>
  </w:style>
  <w:style w:type="character" w:styleId="afffe">
    <w:name w:val="annotation reference"/>
    <w:semiHidden/>
    <w:unhideWhenUsed/>
    <w:rsid w:val="000D732C"/>
    <w:rPr>
      <w:sz w:val="16"/>
    </w:rPr>
  </w:style>
  <w:style w:type="character" w:styleId="affff">
    <w:name w:val="page number"/>
    <w:semiHidden/>
    <w:unhideWhenUsed/>
    <w:rsid w:val="000D732C"/>
    <w:rPr>
      <w:rFonts w:ascii="Times New Roman" w:hAnsi="Times New Roman" w:cs="Times New Roman" w:hint="default"/>
    </w:rPr>
  </w:style>
  <w:style w:type="character" w:styleId="affff0">
    <w:name w:val="endnote reference"/>
    <w:semiHidden/>
    <w:unhideWhenUsed/>
    <w:rsid w:val="000D732C"/>
    <w:rPr>
      <w:vertAlign w:val="superscript"/>
    </w:rPr>
  </w:style>
  <w:style w:type="character" w:customStyle="1" w:styleId="affff1">
    <w:name w:val="Заголовок Знак"/>
    <w:locked/>
    <w:rsid w:val="000D732C"/>
    <w:rPr>
      <w:rFonts w:ascii="Times New Roman" w:hAnsi="Times New Roman" w:cs="Times New Roman" w:hint="default"/>
      <w:b/>
      <w:bCs/>
      <w:sz w:val="24"/>
      <w:szCs w:val="24"/>
      <w:lang w:val="x-none" w:eastAsia="ru-RU"/>
    </w:rPr>
  </w:style>
  <w:style w:type="character" w:customStyle="1" w:styleId="apple-style-span">
    <w:name w:val="apple-style-span"/>
    <w:rsid w:val="000D732C"/>
    <w:rPr>
      <w:rFonts w:ascii="Times New Roman" w:hAnsi="Times New Roman" w:cs="Times New Roman" w:hint="default"/>
    </w:rPr>
  </w:style>
  <w:style w:type="character" w:customStyle="1" w:styleId="apple-converted-space">
    <w:name w:val="apple-converted-space"/>
    <w:rsid w:val="000D732C"/>
    <w:rPr>
      <w:rFonts w:ascii="Times New Roman" w:hAnsi="Times New Roman" w:cs="Times New Roman" w:hint="default"/>
    </w:rPr>
  </w:style>
  <w:style w:type="character" w:customStyle="1" w:styleId="FontStyle29">
    <w:name w:val="Font Style29"/>
    <w:rsid w:val="000D732C"/>
    <w:rPr>
      <w:rFonts w:ascii="Times New Roman" w:hAnsi="Times New Roman" w:cs="Times New Roman" w:hint="default"/>
      <w:color w:val="000000"/>
      <w:sz w:val="20"/>
    </w:rPr>
  </w:style>
  <w:style w:type="character" w:customStyle="1" w:styleId="MessageHeaderLabel">
    <w:name w:val="Message Header Label"/>
    <w:rsid w:val="000D732C"/>
    <w:rPr>
      <w:b/>
      <w:bCs w:val="0"/>
      <w:sz w:val="18"/>
    </w:rPr>
  </w:style>
  <w:style w:type="character" w:customStyle="1" w:styleId="text">
    <w:name w:val="text"/>
    <w:rsid w:val="000D732C"/>
    <w:rPr>
      <w:rFonts w:ascii="Times New Roman" w:hAnsi="Times New Roman" w:cs="Times New Roman" w:hint="default"/>
    </w:rPr>
  </w:style>
  <w:style w:type="table" w:styleId="affff2">
    <w:name w:val="Table Grid"/>
    <w:basedOn w:val="a5"/>
    <w:rsid w:val="000D732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Мониторинг_подпункт"/>
    <w:basedOn w:val="afff6"/>
    <w:autoRedefine/>
    <w:rsid w:val="000D732C"/>
    <w:pPr>
      <w:tabs>
        <w:tab w:val="left" w:pos="900"/>
      </w:tabs>
    </w:pPr>
  </w:style>
  <w:style w:type="paragraph" w:customStyle="1" w:styleId="a0">
    <w:name w:val="Мониторинг_подпункт_сп"/>
    <w:basedOn w:val="affff3"/>
    <w:autoRedefine/>
    <w:rsid w:val="000D732C"/>
    <w:pPr>
      <w:numPr>
        <w:ilvl w:val="1"/>
        <w:numId w:val="8"/>
      </w:numPr>
      <w:tabs>
        <w:tab w:val="clear" w:pos="900"/>
        <w:tab w:val="left" w:pos="567"/>
      </w:tabs>
      <w:ind w:left="-142" w:firstLine="709"/>
    </w:pPr>
  </w:style>
  <w:style w:type="paragraph" w:customStyle="1" w:styleId="a">
    <w:name w:val="Мониторинг_подпункт_подсп"/>
    <w:basedOn w:val="a0"/>
    <w:autoRedefine/>
    <w:rsid w:val="000D732C"/>
    <w:pPr>
      <w:numPr>
        <w:ilvl w:val="0"/>
        <w:numId w:val="9"/>
      </w:numPr>
      <w:tabs>
        <w:tab w:val="clear" w:pos="567"/>
        <w:tab w:val="num" w:pos="720"/>
        <w:tab w:val="left" w:pos="1260"/>
      </w:tabs>
      <w:ind w:left="1260"/>
    </w:pPr>
    <w:rPr>
      <w:bCs w:val="0"/>
      <w:iCs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D732C"/>
    <w:pPr>
      <w:spacing w:after="0" w:line="240" w:lineRule="auto"/>
    </w:pPr>
    <w:rPr>
      <w:rFonts w:ascii="Times New Roman" w:eastAsia="Calibri" w:hAnsi="Times New Roman" w:cs="Times New Roman"/>
      <w:sz w:val="24"/>
      <w:szCs w:val="24"/>
      <w:lang w:eastAsia="ru-RU"/>
    </w:rPr>
  </w:style>
  <w:style w:type="paragraph" w:styleId="10">
    <w:name w:val="heading 1"/>
    <w:aliases w:val="Название организации"/>
    <w:basedOn w:val="a2"/>
    <w:next w:val="a2"/>
    <w:link w:val="11"/>
    <w:autoRedefine/>
    <w:qFormat/>
    <w:rsid w:val="000D732C"/>
    <w:pPr>
      <w:keepNext/>
      <w:tabs>
        <w:tab w:val="left" w:pos="1080"/>
      </w:tabs>
      <w:jc w:val="center"/>
      <w:outlineLvl w:val="0"/>
    </w:pPr>
    <w:rPr>
      <w:b/>
      <w:bCs/>
    </w:rPr>
  </w:style>
  <w:style w:type="paragraph" w:styleId="2">
    <w:name w:val="heading 2"/>
    <w:aliases w:val="Название документа"/>
    <w:basedOn w:val="a2"/>
    <w:next w:val="a3"/>
    <w:link w:val="21"/>
    <w:semiHidden/>
    <w:unhideWhenUsed/>
    <w:qFormat/>
    <w:rsid w:val="000D732C"/>
    <w:pPr>
      <w:numPr>
        <w:ilvl w:val="1"/>
        <w:numId w:val="1"/>
      </w:numPr>
      <w:tabs>
        <w:tab w:val="left" w:pos="1080"/>
      </w:tabs>
      <w:spacing w:before="120"/>
      <w:jc w:val="both"/>
      <w:outlineLvl w:val="1"/>
    </w:pPr>
    <w:rPr>
      <w:bCs/>
      <w:kern w:val="24"/>
      <w:szCs w:val="20"/>
      <w:lang w:eastAsia="en-US"/>
    </w:rPr>
  </w:style>
  <w:style w:type="paragraph" w:styleId="3">
    <w:name w:val="heading 3"/>
    <w:aliases w:val="Реквизиты регистрации"/>
    <w:basedOn w:val="a2"/>
    <w:next w:val="22"/>
    <w:link w:val="30"/>
    <w:semiHidden/>
    <w:unhideWhenUsed/>
    <w:qFormat/>
    <w:rsid w:val="000D732C"/>
    <w:pPr>
      <w:numPr>
        <w:ilvl w:val="2"/>
        <w:numId w:val="1"/>
      </w:numPr>
      <w:tabs>
        <w:tab w:val="left" w:pos="50"/>
      </w:tabs>
      <w:spacing w:after="240" w:line="288" w:lineRule="auto"/>
      <w:jc w:val="both"/>
      <w:outlineLvl w:val="2"/>
    </w:pPr>
    <w:rPr>
      <w:sz w:val="22"/>
      <w:szCs w:val="20"/>
      <w:lang w:eastAsia="en-US"/>
    </w:rPr>
  </w:style>
  <w:style w:type="paragraph" w:styleId="4">
    <w:name w:val="heading 4"/>
    <w:basedOn w:val="a2"/>
    <w:next w:val="31"/>
    <w:link w:val="40"/>
    <w:semiHidden/>
    <w:unhideWhenUsed/>
    <w:qFormat/>
    <w:rsid w:val="000D732C"/>
    <w:pPr>
      <w:numPr>
        <w:ilvl w:val="3"/>
        <w:numId w:val="1"/>
      </w:numPr>
      <w:tabs>
        <w:tab w:val="left" w:pos="68"/>
      </w:tabs>
      <w:spacing w:after="200" w:line="288" w:lineRule="auto"/>
      <w:jc w:val="both"/>
      <w:outlineLvl w:val="3"/>
    </w:pPr>
    <w:rPr>
      <w:sz w:val="22"/>
      <w:szCs w:val="20"/>
      <w:lang w:eastAsia="en-US"/>
    </w:rPr>
  </w:style>
  <w:style w:type="paragraph" w:styleId="5">
    <w:name w:val="heading 5"/>
    <w:basedOn w:val="a2"/>
    <w:next w:val="a2"/>
    <w:link w:val="50"/>
    <w:semiHidden/>
    <w:unhideWhenUsed/>
    <w:qFormat/>
    <w:rsid w:val="000D732C"/>
    <w:pPr>
      <w:numPr>
        <w:ilvl w:val="4"/>
        <w:numId w:val="1"/>
      </w:numPr>
      <w:tabs>
        <w:tab w:val="left" w:pos="86"/>
      </w:tabs>
      <w:spacing w:after="200" w:line="288" w:lineRule="auto"/>
      <w:jc w:val="both"/>
      <w:outlineLvl w:val="4"/>
    </w:pPr>
    <w:rPr>
      <w:sz w:val="22"/>
      <w:szCs w:val="20"/>
      <w:lang w:eastAsia="en-US"/>
    </w:rPr>
  </w:style>
  <w:style w:type="paragraph" w:styleId="6">
    <w:name w:val="heading 6"/>
    <w:basedOn w:val="a2"/>
    <w:next w:val="a2"/>
    <w:link w:val="60"/>
    <w:autoRedefine/>
    <w:semiHidden/>
    <w:unhideWhenUsed/>
    <w:qFormat/>
    <w:rsid w:val="000D732C"/>
    <w:pPr>
      <w:numPr>
        <w:ilvl w:val="2"/>
        <w:numId w:val="2"/>
      </w:numPr>
      <w:tabs>
        <w:tab w:val="left" w:pos="0"/>
      </w:tabs>
      <w:spacing w:before="120"/>
      <w:ind w:left="0" w:firstLine="720"/>
      <w:jc w:val="both"/>
      <w:outlineLvl w:val="5"/>
    </w:pPr>
    <w:rPr>
      <w:szCs w:val="20"/>
      <w:lang w:eastAsia="en-US"/>
    </w:rPr>
  </w:style>
  <w:style w:type="paragraph" w:styleId="7">
    <w:name w:val="heading 7"/>
    <w:basedOn w:val="a2"/>
    <w:next w:val="a2"/>
    <w:link w:val="70"/>
    <w:autoRedefine/>
    <w:semiHidden/>
    <w:unhideWhenUsed/>
    <w:qFormat/>
    <w:rsid w:val="000D732C"/>
    <w:pPr>
      <w:numPr>
        <w:ilvl w:val="1"/>
        <w:numId w:val="3"/>
      </w:numPr>
      <w:tabs>
        <w:tab w:val="num" w:pos="0"/>
        <w:tab w:val="left" w:pos="1080"/>
      </w:tabs>
      <w:spacing w:before="120"/>
      <w:ind w:left="0" w:firstLine="720"/>
      <w:jc w:val="both"/>
      <w:outlineLvl w:val="6"/>
    </w:pPr>
    <w:rPr>
      <w:b/>
      <w:bCs/>
      <w:szCs w:val="20"/>
      <w:lang w:eastAsia="en-US"/>
    </w:rPr>
  </w:style>
  <w:style w:type="paragraph" w:styleId="8">
    <w:name w:val="heading 8"/>
    <w:basedOn w:val="a2"/>
    <w:next w:val="a2"/>
    <w:link w:val="80"/>
    <w:autoRedefine/>
    <w:semiHidden/>
    <w:unhideWhenUsed/>
    <w:qFormat/>
    <w:rsid w:val="000D732C"/>
    <w:pPr>
      <w:numPr>
        <w:ilvl w:val="1"/>
        <w:numId w:val="4"/>
      </w:numPr>
      <w:tabs>
        <w:tab w:val="num" w:pos="0"/>
      </w:tabs>
      <w:spacing w:before="120" w:after="120"/>
      <w:ind w:left="0" w:right="-82" w:firstLine="720"/>
      <w:jc w:val="both"/>
      <w:outlineLvl w:val="7"/>
    </w:pPr>
    <w:rPr>
      <w:b/>
      <w:bCs/>
      <w:szCs w:val="20"/>
      <w:lang w:eastAsia="en-US"/>
    </w:rPr>
  </w:style>
  <w:style w:type="paragraph" w:styleId="9">
    <w:name w:val="heading 9"/>
    <w:basedOn w:val="a2"/>
    <w:next w:val="a2"/>
    <w:link w:val="90"/>
    <w:semiHidden/>
    <w:unhideWhenUsed/>
    <w:qFormat/>
    <w:rsid w:val="000D732C"/>
    <w:pPr>
      <w:pageBreakBefore/>
      <w:numPr>
        <w:ilvl w:val="8"/>
        <w:numId w:val="1"/>
      </w:numPr>
      <w:tabs>
        <w:tab w:val="left" w:pos="1440"/>
      </w:tabs>
      <w:suppressAutoHyphens/>
      <w:spacing w:after="300" w:line="336" w:lineRule="auto"/>
      <w:jc w:val="center"/>
      <w:outlineLvl w:val="8"/>
    </w:pPr>
    <w:rPr>
      <w:b/>
      <w:smallCaps/>
      <w:sz w:val="21"/>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азвание организации Знак"/>
    <w:basedOn w:val="a4"/>
    <w:link w:val="10"/>
    <w:rsid w:val="000D732C"/>
    <w:rPr>
      <w:rFonts w:ascii="Times New Roman" w:eastAsia="Calibri" w:hAnsi="Times New Roman" w:cs="Times New Roman"/>
      <w:b/>
      <w:bCs/>
      <w:sz w:val="24"/>
      <w:szCs w:val="24"/>
      <w:lang w:eastAsia="ru-RU"/>
    </w:rPr>
  </w:style>
  <w:style w:type="character" w:customStyle="1" w:styleId="21">
    <w:name w:val="Заголовок 2 Знак"/>
    <w:aliases w:val="Название документа Знак"/>
    <w:basedOn w:val="a4"/>
    <w:link w:val="2"/>
    <w:semiHidden/>
    <w:rsid w:val="000D732C"/>
    <w:rPr>
      <w:rFonts w:ascii="Times New Roman" w:eastAsia="Calibri" w:hAnsi="Times New Roman" w:cs="Times New Roman"/>
      <w:bCs/>
      <w:kern w:val="24"/>
      <w:sz w:val="24"/>
      <w:szCs w:val="20"/>
    </w:rPr>
  </w:style>
  <w:style w:type="character" w:customStyle="1" w:styleId="30">
    <w:name w:val="Заголовок 3 Знак"/>
    <w:aliases w:val="Реквизиты регистрации Знак"/>
    <w:basedOn w:val="a4"/>
    <w:link w:val="3"/>
    <w:semiHidden/>
    <w:rsid w:val="000D732C"/>
    <w:rPr>
      <w:rFonts w:ascii="Times New Roman" w:eastAsia="Calibri" w:hAnsi="Times New Roman" w:cs="Times New Roman"/>
      <w:szCs w:val="20"/>
    </w:rPr>
  </w:style>
  <w:style w:type="character" w:customStyle="1" w:styleId="40">
    <w:name w:val="Заголовок 4 Знак"/>
    <w:basedOn w:val="a4"/>
    <w:link w:val="4"/>
    <w:semiHidden/>
    <w:rsid w:val="000D732C"/>
    <w:rPr>
      <w:rFonts w:ascii="Times New Roman" w:eastAsia="Calibri" w:hAnsi="Times New Roman" w:cs="Times New Roman"/>
      <w:szCs w:val="20"/>
    </w:rPr>
  </w:style>
  <w:style w:type="character" w:customStyle="1" w:styleId="50">
    <w:name w:val="Заголовок 5 Знак"/>
    <w:basedOn w:val="a4"/>
    <w:link w:val="5"/>
    <w:semiHidden/>
    <w:rsid w:val="000D732C"/>
    <w:rPr>
      <w:rFonts w:ascii="Times New Roman" w:eastAsia="Calibri" w:hAnsi="Times New Roman" w:cs="Times New Roman"/>
      <w:szCs w:val="20"/>
    </w:rPr>
  </w:style>
  <w:style w:type="character" w:customStyle="1" w:styleId="60">
    <w:name w:val="Заголовок 6 Знак"/>
    <w:basedOn w:val="a4"/>
    <w:link w:val="6"/>
    <w:semiHidden/>
    <w:rsid w:val="000D732C"/>
    <w:rPr>
      <w:rFonts w:ascii="Times New Roman" w:eastAsia="Calibri" w:hAnsi="Times New Roman" w:cs="Times New Roman"/>
      <w:sz w:val="24"/>
      <w:szCs w:val="20"/>
    </w:rPr>
  </w:style>
  <w:style w:type="character" w:customStyle="1" w:styleId="70">
    <w:name w:val="Заголовок 7 Знак"/>
    <w:basedOn w:val="a4"/>
    <w:link w:val="7"/>
    <w:semiHidden/>
    <w:rsid w:val="000D732C"/>
    <w:rPr>
      <w:rFonts w:ascii="Times New Roman" w:eastAsia="Calibri" w:hAnsi="Times New Roman" w:cs="Times New Roman"/>
      <w:b/>
      <w:bCs/>
      <w:sz w:val="24"/>
      <w:szCs w:val="20"/>
    </w:rPr>
  </w:style>
  <w:style w:type="character" w:customStyle="1" w:styleId="80">
    <w:name w:val="Заголовок 8 Знак"/>
    <w:basedOn w:val="a4"/>
    <w:link w:val="8"/>
    <w:semiHidden/>
    <w:rsid w:val="000D732C"/>
    <w:rPr>
      <w:rFonts w:ascii="Times New Roman" w:eastAsia="Calibri" w:hAnsi="Times New Roman" w:cs="Times New Roman"/>
      <w:b/>
      <w:bCs/>
      <w:sz w:val="24"/>
      <w:szCs w:val="20"/>
    </w:rPr>
  </w:style>
  <w:style w:type="character" w:customStyle="1" w:styleId="90">
    <w:name w:val="Заголовок 9 Знак"/>
    <w:basedOn w:val="a4"/>
    <w:link w:val="9"/>
    <w:semiHidden/>
    <w:rsid w:val="000D732C"/>
    <w:rPr>
      <w:rFonts w:ascii="Times New Roman" w:eastAsia="Calibri" w:hAnsi="Times New Roman" w:cs="Times New Roman"/>
      <w:b/>
      <w:smallCaps/>
      <w:sz w:val="21"/>
      <w:szCs w:val="20"/>
    </w:rPr>
  </w:style>
  <w:style w:type="character" w:styleId="a7">
    <w:name w:val="Hyperlink"/>
    <w:semiHidden/>
    <w:unhideWhenUsed/>
    <w:rsid w:val="000D732C"/>
    <w:rPr>
      <w:color w:val="0000FF"/>
      <w:u w:val="single"/>
    </w:rPr>
  </w:style>
  <w:style w:type="character" w:styleId="a8">
    <w:name w:val="FollowedHyperlink"/>
    <w:semiHidden/>
    <w:unhideWhenUsed/>
    <w:rsid w:val="000D732C"/>
    <w:rPr>
      <w:color w:val="800080"/>
      <w:u w:val="single"/>
    </w:rPr>
  </w:style>
  <w:style w:type="character" w:styleId="a9">
    <w:name w:val="Emphasis"/>
    <w:qFormat/>
    <w:rsid w:val="000D732C"/>
    <w:rPr>
      <w:i/>
      <w:iCs w:val="0"/>
    </w:rPr>
  </w:style>
  <w:style w:type="character" w:customStyle="1" w:styleId="110">
    <w:name w:val="Заголовок 1 Знак1"/>
    <w:aliases w:val="Название организации Знак1"/>
    <w:basedOn w:val="a4"/>
    <w:rsid w:val="000D732C"/>
    <w:rPr>
      <w:rFonts w:asciiTheme="majorHAnsi" w:eastAsiaTheme="majorEastAsia" w:hAnsiTheme="majorHAnsi" w:cstheme="majorBidi"/>
      <w:b/>
      <w:bCs/>
      <w:color w:val="365F91" w:themeColor="accent1" w:themeShade="BF"/>
      <w:sz w:val="28"/>
      <w:szCs w:val="28"/>
    </w:rPr>
  </w:style>
  <w:style w:type="paragraph" w:styleId="a3">
    <w:name w:val="Body Text"/>
    <w:basedOn w:val="a2"/>
    <w:link w:val="aa"/>
    <w:semiHidden/>
    <w:unhideWhenUsed/>
    <w:rsid w:val="000D732C"/>
    <w:pPr>
      <w:spacing w:after="120"/>
    </w:pPr>
  </w:style>
  <w:style w:type="character" w:customStyle="1" w:styleId="aa">
    <w:name w:val="Основной текст Знак"/>
    <w:basedOn w:val="a4"/>
    <w:link w:val="a3"/>
    <w:semiHidden/>
    <w:rsid w:val="000D732C"/>
    <w:rPr>
      <w:rFonts w:ascii="Times New Roman" w:eastAsia="Calibri" w:hAnsi="Times New Roman" w:cs="Times New Roman"/>
      <w:sz w:val="24"/>
      <w:szCs w:val="24"/>
      <w:lang w:eastAsia="ru-RU"/>
    </w:rPr>
  </w:style>
  <w:style w:type="character" w:customStyle="1" w:styleId="210">
    <w:name w:val="Заголовок 2 Знак1"/>
    <w:aliases w:val="Название документа Знак1"/>
    <w:basedOn w:val="a4"/>
    <w:semiHidden/>
    <w:rsid w:val="000D732C"/>
    <w:rPr>
      <w:rFonts w:asciiTheme="majorHAnsi" w:eastAsiaTheme="majorEastAsia" w:hAnsiTheme="majorHAnsi" w:cstheme="majorBidi"/>
      <w:b/>
      <w:bCs/>
      <w:color w:val="4F81BD" w:themeColor="accent1"/>
      <w:sz w:val="26"/>
      <w:szCs w:val="26"/>
    </w:rPr>
  </w:style>
  <w:style w:type="paragraph" w:styleId="22">
    <w:name w:val="Body Text 2"/>
    <w:basedOn w:val="a2"/>
    <w:link w:val="23"/>
    <w:semiHidden/>
    <w:unhideWhenUsed/>
    <w:rsid w:val="000D732C"/>
    <w:pPr>
      <w:spacing w:after="120" w:line="480" w:lineRule="auto"/>
    </w:pPr>
  </w:style>
  <w:style w:type="character" w:customStyle="1" w:styleId="23">
    <w:name w:val="Основной текст 2 Знак"/>
    <w:basedOn w:val="a4"/>
    <w:link w:val="22"/>
    <w:semiHidden/>
    <w:rsid w:val="000D732C"/>
    <w:rPr>
      <w:rFonts w:ascii="Times New Roman" w:eastAsia="Calibri" w:hAnsi="Times New Roman" w:cs="Times New Roman"/>
      <w:sz w:val="24"/>
      <w:szCs w:val="24"/>
      <w:lang w:eastAsia="ru-RU"/>
    </w:rPr>
  </w:style>
  <w:style w:type="character" w:customStyle="1" w:styleId="310">
    <w:name w:val="Заголовок 3 Знак1"/>
    <w:aliases w:val="Реквизиты регистрации Знак1"/>
    <w:basedOn w:val="a4"/>
    <w:semiHidden/>
    <w:rsid w:val="000D732C"/>
    <w:rPr>
      <w:rFonts w:asciiTheme="majorHAnsi" w:eastAsiaTheme="majorEastAsia" w:hAnsiTheme="majorHAnsi" w:cstheme="majorBidi"/>
      <w:b/>
      <w:bCs/>
      <w:color w:val="4F81BD" w:themeColor="accent1"/>
      <w:sz w:val="24"/>
      <w:szCs w:val="24"/>
    </w:rPr>
  </w:style>
  <w:style w:type="paragraph" w:styleId="31">
    <w:name w:val="Body Text 3"/>
    <w:basedOn w:val="a2"/>
    <w:link w:val="32"/>
    <w:semiHidden/>
    <w:unhideWhenUsed/>
    <w:rsid w:val="000D732C"/>
    <w:pPr>
      <w:spacing w:after="120"/>
    </w:pPr>
    <w:rPr>
      <w:sz w:val="16"/>
      <w:szCs w:val="16"/>
    </w:rPr>
  </w:style>
  <w:style w:type="character" w:customStyle="1" w:styleId="32">
    <w:name w:val="Основной текст 3 Знак"/>
    <w:basedOn w:val="a4"/>
    <w:link w:val="31"/>
    <w:semiHidden/>
    <w:rsid w:val="000D732C"/>
    <w:rPr>
      <w:rFonts w:ascii="Times New Roman" w:eastAsia="Calibri" w:hAnsi="Times New Roman" w:cs="Times New Roman"/>
      <w:sz w:val="16"/>
      <w:szCs w:val="16"/>
      <w:lang w:eastAsia="ru-RU"/>
    </w:rPr>
  </w:style>
  <w:style w:type="paragraph" w:styleId="HTML">
    <w:name w:val="HTML Preformatted"/>
    <w:basedOn w:val="a2"/>
    <w:link w:val="HTML0"/>
    <w:semiHidden/>
    <w:unhideWhenUsed/>
    <w:rsid w:val="000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4"/>
    <w:link w:val="HTML"/>
    <w:semiHidden/>
    <w:rsid w:val="000D732C"/>
    <w:rPr>
      <w:rFonts w:ascii="Arial Unicode MS" w:eastAsia="Arial Unicode MS" w:hAnsi="Arial Unicode MS" w:cs="Arial Unicode MS"/>
      <w:sz w:val="20"/>
      <w:szCs w:val="20"/>
      <w:lang w:eastAsia="ru-RU"/>
    </w:rPr>
  </w:style>
  <w:style w:type="character" w:styleId="ab">
    <w:name w:val="Strong"/>
    <w:qFormat/>
    <w:rsid w:val="000D732C"/>
    <w:rPr>
      <w:rFonts w:ascii="Times New Roman" w:hAnsi="Times New Roman" w:cs="Times New Roman" w:hint="default"/>
      <w:b/>
      <w:bCs/>
    </w:rPr>
  </w:style>
  <w:style w:type="paragraph" w:styleId="ac">
    <w:name w:val="Normal (Web)"/>
    <w:basedOn w:val="a2"/>
    <w:semiHidden/>
    <w:unhideWhenUsed/>
    <w:rsid w:val="000D732C"/>
    <w:pPr>
      <w:spacing w:before="100" w:beforeAutospacing="1" w:after="100" w:afterAutospacing="1"/>
    </w:pPr>
    <w:rPr>
      <w:rFonts w:ascii="Arial Unicode MS" w:eastAsia="Arial Unicode MS" w:hAnsi="Arial Unicode MS" w:cs="Arial Unicode MS"/>
      <w:color w:val="101010"/>
    </w:rPr>
  </w:style>
  <w:style w:type="paragraph" w:styleId="12">
    <w:name w:val="toc 1"/>
    <w:basedOn w:val="a2"/>
    <w:next w:val="a2"/>
    <w:autoRedefine/>
    <w:semiHidden/>
    <w:unhideWhenUsed/>
    <w:rsid w:val="000D732C"/>
    <w:pPr>
      <w:tabs>
        <w:tab w:val="right" w:pos="9787"/>
      </w:tabs>
      <w:spacing w:before="360"/>
    </w:pPr>
    <w:rPr>
      <w:rFonts w:ascii="Cambria" w:hAnsi="Cambria"/>
      <w:b/>
      <w:bCs/>
      <w:caps/>
    </w:rPr>
  </w:style>
  <w:style w:type="paragraph" w:styleId="24">
    <w:name w:val="toc 2"/>
    <w:basedOn w:val="a2"/>
    <w:next w:val="a2"/>
    <w:autoRedefine/>
    <w:semiHidden/>
    <w:unhideWhenUsed/>
    <w:rsid w:val="000D732C"/>
    <w:pPr>
      <w:spacing w:before="240"/>
    </w:pPr>
    <w:rPr>
      <w:rFonts w:ascii="Calibri" w:hAnsi="Calibri"/>
      <w:b/>
      <w:bCs/>
      <w:sz w:val="20"/>
      <w:szCs w:val="20"/>
    </w:rPr>
  </w:style>
  <w:style w:type="paragraph" w:styleId="33">
    <w:name w:val="toc 3"/>
    <w:basedOn w:val="a2"/>
    <w:next w:val="a2"/>
    <w:autoRedefine/>
    <w:semiHidden/>
    <w:unhideWhenUsed/>
    <w:rsid w:val="000D732C"/>
    <w:pPr>
      <w:ind w:left="240"/>
    </w:pPr>
    <w:rPr>
      <w:rFonts w:ascii="Calibri" w:hAnsi="Calibri"/>
      <w:sz w:val="20"/>
      <w:szCs w:val="20"/>
    </w:rPr>
  </w:style>
  <w:style w:type="paragraph" w:styleId="41">
    <w:name w:val="toc 4"/>
    <w:basedOn w:val="a2"/>
    <w:next w:val="a2"/>
    <w:autoRedefine/>
    <w:semiHidden/>
    <w:unhideWhenUsed/>
    <w:rsid w:val="000D732C"/>
    <w:pPr>
      <w:ind w:left="480"/>
    </w:pPr>
    <w:rPr>
      <w:rFonts w:ascii="Calibri" w:hAnsi="Calibri"/>
      <w:sz w:val="20"/>
      <w:szCs w:val="20"/>
    </w:rPr>
  </w:style>
  <w:style w:type="paragraph" w:styleId="51">
    <w:name w:val="toc 5"/>
    <w:basedOn w:val="a2"/>
    <w:next w:val="a2"/>
    <w:autoRedefine/>
    <w:semiHidden/>
    <w:unhideWhenUsed/>
    <w:rsid w:val="000D732C"/>
    <w:pPr>
      <w:ind w:left="720"/>
    </w:pPr>
    <w:rPr>
      <w:rFonts w:ascii="Calibri" w:hAnsi="Calibri"/>
      <w:sz w:val="20"/>
      <w:szCs w:val="20"/>
    </w:rPr>
  </w:style>
  <w:style w:type="paragraph" w:styleId="61">
    <w:name w:val="toc 6"/>
    <w:basedOn w:val="a2"/>
    <w:next w:val="a2"/>
    <w:autoRedefine/>
    <w:semiHidden/>
    <w:unhideWhenUsed/>
    <w:rsid w:val="000D732C"/>
    <w:pPr>
      <w:ind w:left="960"/>
    </w:pPr>
    <w:rPr>
      <w:rFonts w:ascii="Calibri" w:hAnsi="Calibri"/>
      <w:sz w:val="20"/>
      <w:szCs w:val="20"/>
    </w:rPr>
  </w:style>
  <w:style w:type="paragraph" w:styleId="71">
    <w:name w:val="toc 7"/>
    <w:basedOn w:val="a2"/>
    <w:next w:val="a2"/>
    <w:autoRedefine/>
    <w:semiHidden/>
    <w:unhideWhenUsed/>
    <w:rsid w:val="000D732C"/>
    <w:pPr>
      <w:ind w:left="1200"/>
    </w:pPr>
    <w:rPr>
      <w:rFonts w:ascii="Calibri" w:hAnsi="Calibri"/>
      <w:sz w:val="20"/>
      <w:szCs w:val="20"/>
    </w:rPr>
  </w:style>
  <w:style w:type="paragraph" w:styleId="81">
    <w:name w:val="toc 8"/>
    <w:basedOn w:val="a2"/>
    <w:next w:val="a2"/>
    <w:autoRedefine/>
    <w:semiHidden/>
    <w:unhideWhenUsed/>
    <w:rsid w:val="000D732C"/>
    <w:pPr>
      <w:ind w:left="1440"/>
    </w:pPr>
    <w:rPr>
      <w:rFonts w:ascii="Calibri" w:hAnsi="Calibri"/>
      <w:sz w:val="20"/>
      <w:szCs w:val="20"/>
    </w:rPr>
  </w:style>
  <w:style w:type="paragraph" w:styleId="91">
    <w:name w:val="toc 9"/>
    <w:basedOn w:val="a2"/>
    <w:next w:val="a2"/>
    <w:autoRedefine/>
    <w:semiHidden/>
    <w:unhideWhenUsed/>
    <w:rsid w:val="000D732C"/>
    <w:pPr>
      <w:ind w:left="1680"/>
    </w:pPr>
    <w:rPr>
      <w:rFonts w:ascii="Calibri" w:hAnsi="Calibri"/>
      <w:sz w:val="20"/>
      <w:szCs w:val="20"/>
    </w:rPr>
  </w:style>
  <w:style w:type="paragraph" w:styleId="ad">
    <w:name w:val="footnote text"/>
    <w:basedOn w:val="a2"/>
    <w:link w:val="ae"/>
    <w:semiHidden/>
    <w:unhideWhenUsed/>
    <w:rsid w:val="000D732C"/>
    <w:rPr>
      <w:sz w:val="20"/>
      <w:szCs w:val="20"/>
      <w:lang w:eastAsia="en-US"/>
    </w:rPr>
  </w:style>
  <w:style w:type="character" w:customStyle="1" w:styleId="ae">
    <w:name w:val="Текст сноски Знак"/>
    <w:basedOn w:val="a4"/>
    <w:link w:val="ad"/>
    <w:semiHidden/>
    <w:rsid w:val="000D732C"/>
    <w:rPr>
      <w:rFonts w:ascii="Times New Roman" w:eastAsia="Calibri" w:hAnsi="Times New Roman" w:cs="Times New Roman"/>
      <w:sz w:val="20"/>
      <w:szCs w:val="20"/>
    </w:rPr>
  </w:style>
  <w:style w:type="paragraph" w:styleId="af">
    <w:name w:val="annotation text"/>
    <w:basedOn w:val="a2"/>
    <w:link w:val="af0"/>
    <w:semiHidden/>
    <w:unhideWhenUsed/>
    <w:rsid w:val="000D732C"/>
    <w:rPr>
      <w:sz w:val="20"/>
      <w:szCs w:val="20"/>
    </w:rPr>
  </w:style>
  <w:style w:type="character" w:customStyle="1" w:styleId="af0">
    <w:name w:val="Текст примечания Знак"/>
    <w:basedOn w:val="a4"/>
    <w:link w:val="af"/>
    <w:semiHidden/>
    <w:rsid w:val="000D732C"/>
    <w:rPr>
      <w:rFonts w:ascii="Times New Roman" w:eastAsia="Calibri" w:hAnsi="Times New Roman" w:cs="Times New Roman"/>
      <w:sz w:val="20"/>
      <w:szCs w:val="20"/>
      <w:lang w:eastAsia="ru-RU"/>
    </w:rPr>
  </w:style>
  <w:style w:type="paragraph" w:styleId="af1">
    <w:name w:val="header"/>
    <w:basedOn w:val="a2"/>
    <w:link w:val="af2"/>
    <w:semiHidden/>
    <w:unhideWhenUsed/>
    <w:rsid w:val="000D732C"/>
    <w:pPr>
      <w:tabs>
        <w:tab w:val="center" w:pos="4677"/>
        <w:tab w:val="right" w:pos="9355"/>
      </w:tabs>
    </w:pPr>
  </w:style>
  <w:style w:type="character" w:customStyle="1" w:styleId="af2">
    <w:name w:val="Верхний колонтитул Знак"/>
    <w:basedOn w:val="a4"/>
    <w:link w:val="af1"/>
    <w:semiHidden/>
    <w:rsid w:val="000D732C"/>
    <w:rPr>
      <w:rFonts w:ascii="Times New Roman" w:eastAsia="Calibri" w:hAnsi="Times New Roman" w:cs="Times New Roman"/>
      <w:sz w:val="24"/>
      <w:szCs w:val="24"/>
      <w:lang w:eastAsia="ru-RU"/>
    </w:rPr>
  </w:style>
  <w:style w:type="paragraph" w:styleId="af3">
    <w:name w:val="footer"/>
    <w:basedOn w:val="a2"/>
    <w:link w:val="af4"/>
    <w:semiHidden/>
    <w:unhideWhenUsed/>
    <w:rsid w:val="000D732C"/>
    <w:pPr>
      <w:tabs>
        <w:tab w:val="center" w:pos="4677"/>
        <w:tab w:val="right" w:pos="9355"/>
      </w:tabs>
    </w:pPr>
  </w:style>
  <w:style w:type="character" w:customStyle="1" w:styleId="af4">
    <w:name w:val="Нижний колонтитул Знак"/>
    <w:basedOn w:val="a4"/>
    <w:link w:val="af3"/>
    <w:semiHidden/>
    <w:rsid w:val="000D732C"/>
    <w:rPr>
      <w:rFonts w:ascii="Times New Roman" w:eastAsia="Calibri" w:hAnsi="Times New Roman" w:cs="Times New Roman"/>
      <w:sz w:val="24"/>
      <w:szCs w:val="24"/>
      <w:lang w:eastAsia="ru-RU"/>
    </w:rPr>
  </w:style>
  <w:style w:type="paragraph" w:styleId="af5">
    <w:name w:val="caption"/>
    <w:basedOn w:val="a2"/>
    <w:next w:val="a2"/>
    <w:semiHidden/>
    <w:unhideWhenUsed/>
    <w:qFormat/>
    <w:rsid w:val="000D732C"/>
    <w:pPr>
      <w:ind w:firstLine="567"/>
      <w:jc w:val="both"/>
    </w:pPr>
    <w:rPr>
      <w:i/>
      <w:iCs/>
      <w:color w:val="0000FF"/>
      <w:sz w:val="20"/>
      <w:szCs w:val="20"/>
    </w:rPr>
  </w:style>
  <w:style w:type="paragraph" w:styleId="af6">
    <w:name w:val="endnote text"/>
    <w:basedOn w:val="a2"/>
    <w:link w:val="af7"/>
    <w:semiHidden/>
    <w:unhideWhenUsed/>
    <w:rsid w:val="000D732C"/>
    <w:rPr>
      <w:sz w:val="20"/>
      <w:szCs w:val="20"/>
    </w:rPr>
  </w:style>
  <w:style w:type="character" w:customStyle="1" w:styleId="af7">
    <w:name w:val="Текст концевой сноски Знак"/>
    <w:basedOn w:val="a4"/>
    <w:link w:val="af6"/>
    <w:semiHidden/>
    <w:rsid w:val="000D732C"/>
    <w:rPr>
      <w:rFonts w:ascii="Times New Roman" w:eastAsia="Calibri" w:hAnsi="Times New Roman" w:cs="Times New Roman"/>
      <w:sz w:val="20"/>
      <w:szCs w:val="20"/>
      <w:lang w:eastAsia="ru-RU"/>
    </w:rPr>
  </w:style>
  <w:style w:type="paragraph" w:styleId="20">
    <w:name w:val="List Bullet 2"/>
    <w:basedOn w:val="a2"/>
    <w:autoRedefine/>
    <w:semiHidden/>
    <w:unhideWhenUsed/>
    <w:rsid w:val="000D732C"/>
    <w:pPr>
      <w:numPr>
        <w:numId w:val="5"/>
      </w:numPr>
      <w:tabs>
        <w:tab w:val="clear" w:pos="1069"/>
        <w:tab w:val="num" w:pos="1276"/>
      </w:tabs>
      <w:spacing w:after="120"/>
      <w:ind w:left="1276" w:hanging="425"/>
      <w:jc w:val="both"/>
    </w:pPr>
    <w:rPr>
      <w:sz w:val="20"/>
      <w:szCs w:val="20"/>
    </w:rPr>
  </w:style>
  <w:style w:type="paragraph" w:styleId="af8">
    <w:name w:val="Title"/>
    <w:basedOn w:val="a2"/>
    <w:next w:val="a2"/>
    <w:link w:val="af9"/>
    <w:uiPriority w:val="10"/>
    <w:qFormat/>
    <w:rsid w:val="000D73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4"/>
    <w:link w:val="af8"/>
    <w:uiPriority w:val="10"/>
    <w:rsid w:val="000D732C"/>
    <w:rPr>
      <w:rFonts w:asciiTheme="majorHAnsi" w:eastAsiaTheme="majorEastAsia" w:hAnsiTheme="majorHAnsi" w:cstheme="majorBidi"/>
      <w:color w:val="17365D" w:themeColor="text2" w:themeShade="BF"/>
      <w:spacing w:val="5"/>
      <w:kern w:val="28"/>
      <w:sz w:val="52"/>
      <w:szCs w:val="52"/>
      <w:lang w:eastAsia="ru-RU"/>
    </w:rPr>
  </w:style>
  <w:style w:type="paragraph" w:styleId="afa">
    <w:name w:val="Signature"/>
    <w:basedOn w:val="a2"/>
    <w:link w:val="afb"/>
    <w:semiHidden/>
    <w:unhideWhenUsed/>
    <w:rsid w:val="000D732C"/>
    <w:pPr>
      <w:tabs>
        <w:tab w:val="left" w:pos="6804"/>
        <w:tab w:val="right" w:pos="8931"/>
      </w:tabs>
      <w:jc w:val="both"/>
    </w:pPr>
    <w:rPr>
      <w:b/>
      <w:szCs w:val="20"/>
    </w:rPr>
  </w:style>
  <w:style w:type="character" w:customStyle="1" w:styleId="afb">
    <w:name w:val="Подпись Знак"/>
    <w:basedOn w:val="a4"/>
    <w:link w:val="afa"/>
    <w:semiHidden/>
    <w:rsid w:val="000D732C"/>
    <w:rPr>
      <w:rFonts w:ascii="Times New Roman" w:eastAsia="Calibri" w:hAnsi="Times New Roman" w:cs="Times New Roman"/>
      <w:b/>
      <w:sz w:val="24"/>
      <w:szCs w:val="20"/>
      <w:lang w:eastAsia="ru-RU"/>
    </w:rPr>
  </w:style>
  <w:style w:type="paragraph" w:styleId="afc">
    <w:name w:val="Body Text Indent"/>
    <w:basedOn w:val="a2"/>
    <w:link w:val="afd"/>
    <w:semiHidden/>
    <w:unhideWhenUsed/>
    <w:rsid w:val="000D732C"/>
    <w:pPr>
      <w:ind w:firstLine="567"/>
    </w:pPr>
    <w:rPr>
      <w:sz w:val="20"/>
      <w:szCs w:val="20"/>
      <w:lang w:eastAsia="en-US"/>
    </w:rPr>
  </w:style>
  <w:style w:type="character" w:customStyle="1" w:styleId="afd">
    <w:name w:val="Основной текст с отступом Знак"/>
    <w:basedOn w:val="a4"/>
    <w:link w:val="afc"/>
    <w:semiHidden/>
    <w:rsid w:val="000D732C"/>
    <w:rPr>
      <w:rFonts w:ascii="Times New Roman" w:eastAsia="Calibri" w:hAnsi="Times New Roman" w:cs="Times New Roman"/>
      <w:sz w:val="20"/>
      <w:szCs w:val="20"/>
    </w:rPr>
  </w:style>
  <w:style w:type="paragraph" w:styleId="afe">
    <w:name w:val="Subtitle"/>
    <w:basedOn w:val="a2"/>
    <w:link w:val="aff"/>
    <w:qFormat/>
    <w:rsid w:val="000D732C"/>
    <w:pPr>
      <w:jc w:val="center"/>
    </w:pPr>
    <w:rPr>
      <w:b/>
      <w:bCs/>
    </w:rPr>
  </w:style>
  <w:style w:type="character" w:customStyle="1" w:styleId="aff">
    <w:name w:val="Подзаголовок Знак"/>
    <w:basedOn w:val="a4"/>
    <w:link w:val="afe"/>
    <w:rsid w:val="000D732C"/>
    <w:rPr>
      <w:rFonts w:ascii="Times New Roman" w:eastAsia="Calibri" w:hAnsi="Times New Roman" w:cs="Times New Roman"/>
      <w:b/>
      <w:bCs/>
      <w:sz w:val="24"/>
      <w:szCs w:val="24"/>
      <w:lang w:eastAsia="ru-RU"/>
    </w:rPr>
  </w:style>
  <w:style w:type="paragraph" w:styleId="25">
    <w:name w:val="Body Text Indent 2"/>
    <w:basedOn w:val="a2"/>
    <w:link w:val="26"/>
    <w:semiHidden/>
    <w:unhideWhenUsed/>
    <w:rsid w:val="000D732C"/>
    <w:pPr>
      <w:ind w:firstLine="567"/>
      <w:jc w:val="both"/>
    </w:pPr>
    <w:rPr>
      <w:sz w:val="20"/>
      <w:szCs w:val="20"/>
      <w:lang w:eastAsia="en-US"/>
    </w:rPr>
  </w:style>
  <w:style w:type="character" w:customStyle="1" w:styleId="26">
    <w:name w:val="Основной текст с отступом 2 Знак"/>
    <w:basedOn w:val="a4"/>
    <w:link w:val="25"/>
    <w:semiHidden/>
    <w:rsid w:val="000D732C"/>
    <w:rPr>
      <w:rFonts w:ascii="Times New Roman" w:eastAsia="Calibri" w:hAnsi="Times New Roman" w:cs="Times New Roman"/>
      <w:sz w:val="20"/>
      <w:szCs w:val="20"/>
    </w:rPr>
  </w:style>
  <w:style w:type="paragraph" w:styleId="34">
    <w:name w:val="Body Text Indent 3"/>
    <w:basedOn w:val="a2"/>
    <w:link w:val="35"/>
    <w:semiHidden/>
    <w:unhideWhenUsed/>
    <w:rsid w:val="000D732C"/>
    <w:pPr>
      <w:spacing w:before="60"/>
      <w:ind w:left="1797"/>
      <w:jc w:val="both"/>
    </w:pPr>
  </w:style>
  <w:style w:type="character" w:customStyle="1" w:styleId="35">
    <w:name w:val="Основной текст с отступом 3 Знак"/>
    <w:basedOn w:val="a4"/>
    <w:link w:val="34"/>
    <w:semiHidden/>
    <w:rsid w:val="000D732C"/>
    <w:rPr>
      <w:rFonts w:ascii="Times New Roman" w:eastAsia="Calibri" w:hAnsi="Times New Roman" w:cs="Times New Roman"/>
      <w:sz w:val="24"/>
      <w:szCs w:val="24"/>
      <w:lang w:eastAsia="ru-RU"/>
    </w:rPr>
  </w:style>
  <w:style w:type="paragraph" w:styleId="aff0">
    <w:name w:val="Block Text"/>
    <w:basedOn w:val="a2"/>
    <w:semiHidden/>
    <w:unhideWhenUsed/>
    <w:rsid w:val="000D732C"/>
    <w:pPr>
      <w:tabs>
        <w:tab w:val="left" w:pos="0"/>
      </w:tabs>
      <w:ind w:left="163" w:right="163" w:firstLine="546"/>
      <w:jc w:val="both"/>
    </w:pPr>
    <w:rPr>
      <w:i/>
      <w:sz w:val="16"/>
    </w:rPr>
  </w:style>
  <w:style w:type="paragraph" w:styleId="aff1">
    <w:name w:val="Document Map"/>
    <w:basedOn w:val="a2"/>
    <w:link w:val="aff2"/>
    <w:semiHidden/>
    <w:unhideWhenUsed/>
    <w:rsid w:val="000D732C"/>
    <w:rPr>
      <w:rFonts w:ascii="Tahoma" w:hAnsi="Tahoma"/>
      <w:sz w:val="16"/>
      <w:szCs w:val="16"/>
    </w:rPr>
  </w:style>
  <w:style w:type="character" w:customStyle="1" w:styleId="aff2">
    <w:name w:val="Схема документа Знак"/>
    <w:basedOn w:val="a4"/>
    <w:link w:val="aff1"/>
    <w:semiHidden/>
    <w:rsid w:val="000D732C"/>
    <w:rPr>
      <w:rFonts w:ascii="Tahoma" w:eastAsia="Calibri" w:hAnsi="Tahoma" w:cs="Times New Roman"/>
      <w:sz w:val="16"/>
      <w:szCs w:val="16"/>
      <w:lang w:eastAsia="ru-RU"/>
    </w:rPr>
  </w:style>
  <w:style w:type="paragraph" w:styleId="aff3">
    <w:name w:val="Plain Text"/>
    <w:basedOn w:val="a2"/>
    <w:link w:val="aff4"/>
    <w:semiHidden/>
    <w:unhideWhenUsed/>
    <w:rsid w:val="000D732C"/>
    <w:rPr>
      <w:rFonts w:ascii="Courier New" w:hAnsi="Courier New"/>
      <w:sz w:val="20"/>
      <w:szCs w:val="20"/>
    </w:rPr>
  </w:style>
  <w:style w:type="character" w:customStyle="1" w:styleId="aff4">
    <w:name w:val="Текст Знак"/>
    <w:basedOn w:val="a4"/>
    <w:link w:val="aff3"/>
    <w:semiHidden/>
    <w:rsid w:val="000D732C"/>
    <w:rPr>
      <w:rFonts w:ascii="Courier New" w:eastAsia="Calibri" w:hAnsi="Courier New" w:cs="Times New Roman"/>
      <w:sz w:val="20"/>
      <w:szCs w:val="20"/>
      <w:lang w:eastAsia="ru-RU"/>
    </w:rPr>
  </w:style>
  <w:style w:type="paragraph" w:styleId="aff5">
    <w:name w:val="annotation subject"/>
    <w:basedOn w:val="af"/>
    <w:next w:val="af"/>
    <w:link w:val="aff6"/>
    <w:semiHidden/>
    <w:unhideWhenUsed/>
    <w:rsid w:val="000D732C"/>
    <w:rPr>
      <w:b/>
      <w:bCs/>
    </w:rPr>
  </w:style>
  <w:style w:type="character" w:customStyle="1" w:styleId="aff6">
    <w:name w:val="Тема примечания Знак"/>
    <w:basedOn w:val="af0"/>
    <w:link w:val="aff5"/>
    <w:semiHidden/>
    <w:rsid w:val="000D732C"/>
    <w:rPr>
      <w:rFonts w:ascii="Times New Roman" w:eastAsia="Calibri" w:hAnsi="Times New Roman" w:cs="Times New Roman"/>
      <w:b/>
      <w:bCs/>
      <w:sz w:val="20"/>
      <w:szCs w:val="20"/>
      <w:lang w:eastAsia="ru-RU"/>
    </w:rPr>
  </w:style>
  <w:style w:type="paragraph" w:styleId="aff7">
    <w:name w:val="Balloon Text"/>
    <w:basedOn w:val="a2"/>
    <w:link w:val="aff8"/>
    <w:semiHidden/>
    <w:unhideWhenUsed/>
    <w:rsid w:val="000D732C"/>
    <w:rPr>
      <w:rFonts w:ascii="Tahoma" w:hAnsi="Tahoma" w:cs="Tahoma"/>
      <w:sz w:val="16"/>
      <w:szCs w:val="16"/>
    </w:rPr>
  </w:style>
  <w:style w:type="character" w:customStyle="1" w:styleId="aff8">
    <w:name w:val="Текст выноски Знак"/>
    <w:basedOn w:val="a4"/>
    <w:link w:val="aff7"/>
    <w:semiHidden/>
    <w:rsid w:val="000D732C"/>
    <w:rPr>
      <w:rFonts w:ascii="Tahoma" w:eastAsia="Calibri" w:hAnsi="Tahoma" w:cs="Tahoma"/>
      <w:sz w:val="16"/>
      <w:szCs w:val="16"/>
      <w:lang w:eastAsia="ru-RU"/>
    </w:rPr>
  </w:style>
  <w:style w:type="paragraph" w:styleId="aff9">
    <w:name w:val="List Paragraph"/>
    <w:basedOn w:val="a2"/>
    <w:uiPriority w:val="34"/>
    <w:qFormat/>
    <w:rsid w:val="000D732C"/>
    <w:pPr>
      <w:ind w:left="720"/>
      <w:contextualSpacing/>
    </w:pPr>
    <w:rPr>
      <w:rFonts w:eastAsia="Times New Roman"/>
    </w:rPr>
  </w:style>
  <w:style w:type="paragraph" w:customStyle="1" w:styleId="42">
    <w:name w:val="заголовок 4"/>
    <w:basedOn w:val="a2"/>
    <w:next w:val="a2"/>
    <w:rsid w:val="000D732C"/>
    <w:pPr>
      <w:keepNext/>
      <w:ind w:firstLine="720"/>
      <w:jc w:val="both"/>
    </w:pPr>
    <w:rPr>
      <w:sz w:val="22"/>
      <w:szCs w:val="20"/>
    </w:rPr>
  </w:style>
  <w:style w:type="paragraph" w:customStyle="1" w:styleId="affa">
    <w:name w:val="Автор документа"/>
    <w:basedOn w:val="a2"/>
    <w:rsid w:val="000D732C"/>
    <w:rPr>
      <w:szCs w:val="20"/>
    </w:rPr>
  </w:style>
  <w:style w:type="paragraph" w:customStyle="1" w:styleId="211">
    <w:name w:val="Основной текст 21"/>
    <w:basedOn w:val="a2"/>
    <w:rsid w:val="000D732C"/>
    <w:pPr>
      <w:overflowPunct w:val="0"/>
      <w:autoSpaceDE w:val="0"/>
      <w:autoSpaceDN w:val="0"/>
      <w:adjustRightInd w:val="0"/>
      <w:jc w:val="both"/>
    </w:pPr>
    <w:rPr>
      <w:szCs w:val="20"/>
    </w:rPr>
  </w:style>
  <w:style w:type="paragraph" w:customStyle="1" w:styleId="xl30">
    <w:name w:val="xl30"/>
    <w:basedOn w:val="a2"/>
    <w:rsid w:val="000D732C"/>
    <w:pPr>
      <w:pBdr>
        <w:left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13">
    <w:name w:val="Обычный1"/>
    <w:rsid w:val="000D732C"/>
    <w:pPr>
      <w:spacing w:before="100" w:after="100" w:line="240" w:lineRule="auto"/>
    </w:pPr>
    <w:rPr>
      <w:rFonts w:ascii="Times New Roman" w:eastAsia="Calibri" w:hAnsi="Times New Roman" w:cs="Times New Roman"/>
      <w:sz w:val="24"/>
      <w:szCs w:val="20"/>
      <w:lang w:eastAsia="ru-RU"/>
    </w:rPr>
  </w:style>
  <w:style w:type="paragraph" w:customStyle="1" w:styleId="36">
    <w:name w:val="Стиль3"/>
    <w:basedOn w:val="10"/>
    <w:autoRedefine/>
    <w:rsid w:val="000D732C"/>
    <w:pPr>
      <w:keepNext w:val="0"/>
      <w:tabs>
        <w:tab w:val="clear" w:pos="1080"/>
      </w:tabs>
      <w:outlineLvl w:val="9"/>
    </w:pPr>
    <w:rPr>
      <w:b w:val="0"/>
      <w:bCs w:val="0"/>
      <w:color w:val="000000"/>
      <w:szCs w:val="20"/>
    </w:rPr>
  </w:style>
  <w:style w:type="paragraph" w:customStyle="1" w:styleId="affb">
    <w:name w:val="Заголовок к тексту"/>
    <w:basedOn w:val="a2"/>
    <w:rsid w:val="000D732C"/>
    <w:pPr>
      <w:ind w:right="5670"/>
    </w:pPr>
    <w:rPr>
      <w:b/>
      <w:sz w:val="20"/>
      <w:szCs w:val="20"/>
    </w:rPr>
  </w:style>
  <w:style w:type="paragraph" w:customStyle="1" w:styleId="affc">
    <w:name w:val="Визы согласования"/>
    <w:basedOn w:val="affb"/>
    <w:rsid w:val="000D732C"/>
    <w:rPr>
      <w:b w:val="0"/>
      <w:sz w:val="24"/>
    </w:rPr>
  </w:style>
  <w:style w:type="paragraph" w:customStyle="1" w:styleId="affd">
    <w:name w:val="Наименование должности"/>
    <w:basedOn w:val="affb"/>
    <w:rsid w:val="000D732C"/>
    <w:rPr>
      <w:b w:val="0"/>
    </w:rPr>
  </w:style>
  <w:style w:type="paragraph" w:customStyle="1" w:styleId="affe">
    <w:name w:val="Подпись визы согласования"/>
    <w:basedOn w:val="affd"/>
    <w:rsid w:val="000D732C"/>
    <w:rPr>
      <w:u w:val="single"/>
    </w:rPr>
  </w:style>
  <w:style w:type="paragraph" w:customStyle="1" w:styleId="afff">
    <w:name w:val="Слово подпись"/>
    <w:basedOn w:val="affd"/>
    <w:rsid w:val="000D732C"/>
    <w:pPr>
      <w:ind w:right="7938"/>
      <w:jc w:val="center"/>
    </w:pPr>
    <w:rPr>
      <w:vertAlign w:val="superscript"/>
    </w:rPr>
  </w:style>
  <w:style w:type="character" w:customStyle="1" w:styleId="afff0">
    <w:name w:val="Наименование документа Знак"/>
    <w:link w:val="afff1"/>
    <w:locked/>
    <w:rsid w:val="000D732C"/>
    <w:rPr>
      <w:rFonts w:ascii="Times New Roman" w:hAnsi="Times New Roman" w:cs="Times New Roman"/>
      <w:b/>
      <w:caps/>
      <w:sz w:val="24"/>
    </w:rPr>
  </w:style>
  <w:style w:type="paragraph" w:customStyle="1" w:styleId="afff1">
    <w:name w:val="Наименование документа"/>
    <w:basedOn w:val="a2"/>
    <w:link w:val="afff0"/>
    <w:rsid w:val="000D732C"/>
    <w:pPr>
      <w:jc w:val="both"/>
    </w:pPr>
    <w:rPr>
      <w:rFonts w:eastAsiaTheme="minorHAnsi"/>
      <w:b/>
      <w:caps/>
      <w:szCs w:val="22"/>
      <w:lang w:eastAsia="en-US"/>
    </w:rPr>
  </w:style>
  <w:style w:type="paragraph" w:customStyle="1" w:styleId="afff2">
    <w:name w:val="Адресат"/>
    <w:basedOn w:val="a2"/>
    <w:rsid w:val="000D732C"/>
    <w:rPr>
      <w:szCs w:val="20"/>
    </w:rPr>
  </w:style>
  <w:style w:type="paragraph" w:customStyle="1" w:styleId="14">
    <w:name w:val="Заголовок1"/>
    <w:basedOn w:val="a2"/>
    <w:rsid w:val="000D732C"/>
    <w:rPr>
      <w:b/>
      <w:szCs w:val="20"/>
    </w:rPr>
  </w:style>
  <w:style w:type="paragraph" w:customStyle="1" w:styleId="afff3">
    <w:name w:val="Исполнитель"/>
    <w:basedOn w:val="a2"/>
    <w:rsid w:val="000D732C"/>
    <w:pPr>
      <w:ind w:right="5670"/>
    </w:pPr>
    <w:rPr>
      <w:sz w:val="20"/>
      <w:szCs w:val="20"/>
    </w:rPr>
  </w:style>
  <w:style w:type="paragraph" w:customStyle="1" w:styleId="afff4">
    <w:name w:val="Приказываю"/>
    <w:basedOn w:val="affb"/>
    <w:rsid w:val="000D732C"/>
    <w:rPr>
      <w:sz w:val="24"/>
    </w:rPr>
  </w:style>
  <w:style w:type="paragraph" w:customStyle="1" w:styleId="311">
    <w:name w:val="заголовок 31"/>
    <w:basedOn w:val="a2"/>
    <w:next w:val="a2"/>
    <w:rsid w:val="000D732C"/>
    <w:pPr>
      <w:keepNext/>
      <w:jc w:val="center"/>
    </w:pPr>
    <w:rPr>
      <w:b/>
      <w:sz w:val="20"/>
      <w:szCs w:val="20"/>
    </w:rPr>
  </w:style>
  <w:style w:type="paragraph" w:customStyle="1" w:styleId="52">
    <w:name w:val="заголовок 5"/>
    <w:basedOn w:val="a2"/>
    <w:next w:val="a2"/>
    <w:rsid w:val="000D732C"/>
    <w:pPr>
      <w:keepNext/>
      <w:ind w:right="-58"/>
      <w:jc w:val="center"/>
    </w:pPr>
    <w:rPr>
      <w:b/>
      <w:sz w:val="22"/>
      <w:szCs w:val="20"/>
    </w:rPr>
  </w:style>
  <w:style w:type="paragraph" w:customStyle="1" w:styleId="111">
    <w:name w:val="заголовок 11"/>
    <w:basedOn w:val="a2"/>
    <w:next w:val="a2"/>
    <w:rsid w:val="000D732C"/>
    <w:pPr>
      <w:keepNext/>
      <w:ind w:right="-58"/>
      <w:jc w:val="right"/>
    </w:pPr>
    <w:rPr>
      <w:szCs w:val="20"/>
    </w:rPr>
  </w:style>
  <w:style w:type="paragraph" w:customStyle="1" w:styleId="afff5">
    <w:name w:val="текст примечания"/>
    <w:basedOn w:val="a2"/>
    <w:rsid w:val="000D732C"/>
    <w:rPr>
      <w:sz w:val="20"/>
      <w:szCs w:val="20"/>
    </w:rPr>
  </w:style>
  <w:style w:type="paragraph" w:customStyle="1" w:styleId="72">
    <w:name w:val="заголовок 7"/>
    <w:basedOn w:val="a2"/>
    <w:next w:val="a2"/>
    <w:rsid w:val="000D732C"/>
    <w:pPr>
      <w:keepNext/>
      <w:widowControl w:val="0"/>
      <w:ind w:right="-58"/>
    </w:pPr>
    <w:rPr>
      <w:b/>
      <w:sz w:val="22"/>
      <w:szCs w:val="20"/>
    </w:rPr>
  </w:style>
  <w:style w:type="paragraph" w:customStyle="1" w:styleId="420">
    <w:name w:val="заголовок 42"/>
    <w:basedOn w:val="a2"/>
    <w:next w:val="a2"/>
    <w:rsid w:val="000D732C"/>
    <w:pPr>
      <w:keepNext/>
      <w:widowControl w:val="0"/>
      <w:ind w:firstLine="720"/>
      <w:jc w:val="both"/>
    </w:pPr>
    <w:rPr>
      <w:sz w:val="22"/>
      <w:szCs w:val="20"/>
    </w:rPr>
  </w:style>
  <w:style w:type="paragraph" w:customStyle="1" w:styleId="62">
    <w:name w:val="заголовок 6"/>
    <w:basedOn w:val="a2"/>
    <w:next w:val="a2"/>
    <w:rsid w:val="000D732C"/>
    <w:pPr>
      <w:keepNext/>
      <w:jc w:val="center"/>
    </w:pPr>
    <w:rPr>
      <w:b/>
      <w:szCs w:val="20"/>
    </w:rPr>
  </w:style>
  <w:style w:type="paragraph" w:customStyle="1" w:styleId="1">
    <w:name w:val="Стиль1"/>
    <w:basedOn w:val="22"/>
    <w:rsid w:val="000D732C"/>
    <w:pPr>
      <w:numPr>
        <w:numId w:val="6"/>
      </w:numPr>
      <w:spacing w:after="0" w:line="240" w:lineRule="auto"/>
      <w:jc w:val="both"/>
    </w:pPr>
    <w:rPr>
      <w:b/>
      <w:szCs w:val="20"/>
      <w:lang w:eastAsia="en-US"/>
    </w:rPr>
  </w:style>
  <w:style w:type="paragraph" w:customStyle="1" w:styleId="27">
    <w:name w:val="Стиль2"/>
    <w:basedOn w:val="22"/>
    <w:autoRedefine/>
    <w:rsid w:val="000D732C"/>
    <w:pPr>
      <w:tabs>
        <w:tab w:val="num" w:pos="1872"/>
      </w:tabs>
      <w:spacing w:after="0" w:line="240" w:lineRule="auto"/>
      <w:ind w:left="1872" w:hanging="432"/>
      <w:jc w:val="both"/>
    </w:pPr>
    <w:rPr>
      <w:b/>
      <w:szCs w:val="20"/>
      <w:lang w:eastAsia="en-US"/>
    </w:rPr>
  </w:style>
  <w:style w:type="paragraph" w:customStyle="1" w:styleId="43">
    <w:name w:val="Стиль4"/>
    <w:basedOn w:val="27"/>
    <w:autoRedefine/>
    <w:rsid w:val="000D732C"/>
    <w:pPr>
      <w:tabs>
        <w:tab w:val="clear" w:pos="1872"/>
      </w:tabs>
      <w:ind w:left="0" w:firstLine="567"/>
    </w:pPr>
    <w:rPr>
      <w:b w:val="0"/>
      <w:szCs w:val="24"/>
      <w:lang w:eastAsia="ru-RU"/>
    </w:rPr>
  </w:style>
  <w:style w:type="paragraph" w:customStyle="1" w:styleId="a1">
    <w:name w:val="Мониторинг_часть"/>
    <w:basedOn w:val="a2"/>
    <w:autoRedefine/>
    <w:rsid w:val="000D732C"/>
    <w:pPr>
      <w:numPr>
        <w:numId w:val="7"/>
      </w:numPr>
      <w:tabs>
        <w:tab w:val="num" w:pos="360"/>
      </w:tabs>
      <w:spacing w:after="40"/>
      <w:jc w:val="both"/>
    </w:pPr>
    <w:rPr>
      <w:b/>
      <w:caps/>
      <w:sz w:val="28"/>
    </w:rPr>
  </w:style>
  <w:style w:type="paragraph" w:customStyle="1" w:styleId="15">
    <w:name w:val="Мониторинг_раздел1"/>
    <w:basedOn w:val="a2"/>
    <w:autoRedefine/>
    <w:rsid w:val="000D732C"/>
    <w:pPr>
      <w:tabs>
        <w:tab w:val="num" w:pos="360"/>
      </w:tabs>
      <w:spacing w:before="40" w:after="40"/>
      <w:ind w:left="360" w:hanging="360"/>
      <w:jc w:val="both"/>
    </w:pPr>
    <w:rPr>
      <w:b/>
      <w:smallCaps/>
    </w:rPr>
  </w:style>
  <w:style w:type="paragraph" w:customStyle="1" w:styleId="afff6">
    <w:name w:val="Мониторинг_пункт"/>
    <w:basedOn w:val="a2"/>
    <w:autoRedefine/>
    <w:rsid w:val="000D732C"/>
    <w:pPr>
      <w:ind w:firstLine="567"/>
      <w:jc w:val="both"/>
    </w:pPr>
    <w:rPr>
      <w:bCs/>
      <w:iCs/>
    </w:rPr>
  </w:style>
  <w:style w:type="paragraph" w:customStyle="1" w:styleId="ConsNormal">
    <w:name w:val="ConsNormal"/>
    <w:rsid w:val="000D732C"/>
    <w:pPr>
      <w:widowControl w:val="0"/>
      <w:spacing w:after="0" w:line="240" w:lineRule="auto"/>
      <w:ind w:firstLine="720"/>
    </w:pPr>
    <w:rPr>
      <w:rFonts w:ascii="Consultant" w:eastAsia="Calibri" w:hAnsi="Consultant" w:cs="Times New Roman"/>
      <w:sz w:val="20"/>
      <w:szCs w:val="20"/>
      <w:lang w:eastAsia="ru-RU"/>
    </w:rPr>
  </w:style>
  <w:style w:type="paragraph" w:customStyle="1" w:styleId="ListParagraph">
    <w:name w:val="List Paragraph"/>
    <w:basedOn w:val="a2"/>
    <w:rsid w:val="000D732C"/>
    <w:pPr>
      <w:ind w:left="720"/>
      <w:contextualSpacing/>
    </w:pPr>
  </w:style>
  <w:style w:type="paragraph" w:customStyle="1" w:styleId="afff7">
    <w:name w:val="Таблицы (моноширинный)"/>
    <w:basedOn w:val="a2"/>
    <w:next w:val="a2"/>
    <w:rsid w:val="000D732C"/>
    <w:pPr>
      <w:autoSpaceDE w:val="0"/>
      <w:autoSpaceDN w:val="0"/>
      <w:adjustRightInd w:val="0"/>
      <w:jc w:val="both"/>
    </w:pPr>
    <w:rPr>
      <w:rFonts w:ascii="Courier New" w:hAnsi="Courier New" w:cs="Courier New"/>
      <w:sz w:val="22"/>
      <w:szCs w:val="22"/>
    </w:rPr>
  </w:style>
  <w:style w:type="paragraph" w:customStyle="1" w:styleId="TOCHeading">
    <w:name w:val="TOC Heading"/>
    <w:basedOn w:val="10"/>
    <w:next w:val="a2"/>
    <w:rsid w:val="000D732C"/>
    <w:pPr>
      <w:keepLines/>
      <w:tabs>
        <w:tab w:val="clear" w:pos="1080"/>
      </w:tabs>
      <w:spacing w:before="480" w:line="276" w:lineRule="auto"/>
      <w:jc w:val="left"/>
      <w:outlineLvl w:val="9"/>
    </w:pPr>
    <w:rPr>
      <w:rFonts w:ascii="Cambria" w:eastAsia="SimSun" w:hAnsi="Cambria"/>
      <w:bCs w:val="0"/>
      <w:color w:val="365F91"/>
      <w:sz w:val="28"/>
      <w:szCs w:val="28"/>
    </w:rPr>
  </w:style>
  <w:style w:type="paragraph" w:customStyle="1" w:styleId="Iauiue">
    <w:name w:val="Iau?iue"/>
    <w:rsid w:val="000D732C"/>
    <w:pPr>
      <w:spacing w:after="0" w:line="240" w:lineRule="auto"/>
    </w:pPr>
    <w:rPr>
      <w:rFonts w:ascii="Times New Roman" w:eastAsia="Calibri" w:hAnsi="Times New Roman" w:cs="Times New Roman"/>
      <w:sz w:val="20"/>
      <w:szCs w:val="20"/>
      <w:lang w:val="en-GB" w:eastAsia="ru-RU"/>
    </w:rPr>
  </w:style>
  <w:style w:type="paragraph" w:customStyle="1" w:styleId="ConsTitle">
    <w:name w:val="ConsTitle"/>
    <w:rsid w:val="000D732C"/>
    <w:pPr>
      <w:widowControl w:val="0"/>
      <w:spacing w:after="0" w:line="240" w:lineRule="auto"/>
    </w:pPr>
    <w:rPr>
      <w:rFonts w:ascii="Arial" w:eastAsia="Calibri" w:hAnsi="Arial" w:cs="Times New Roman"/>
      <w:b/>
      <w:szCs w:val="20"/>
      <w:lang w:eastAsia="ru-RU"/>
    </w:rPr>
  </w:style>
  <w:style w:type="paragraph" w:customStyle="1" w:styleId="ConsNonformat">
    <w:name w:val="ConsNonformat"/>
    <w:rsid w:val="000D732C"/>
    <w:pPr>
      <w:widowControl w:val="0"/>
      <w:spacing w:after="0" w:line="240" w:lineRule="auto"/>
    </w:pPr>
    <w:rPr>
      <w:rFonts w:ascii="Courier New" w:eastAsia="Calibri" w:hAnsi="Courier New" w:cs="Times New Roman"/>
      <w:sz w:val="28"/>
      <w:szCs w:val="20"/>
      <w:lang w:eastAsia="ru-RU"/>
    </w:rPr>
  </w:style>
  <w:style w:type="paragraph" w:customStyle="1" w:styleId="ConsCell">
    <w:name w:val="ConsCell"/>
    <w:rsid w:val="000D732C"/>
    <w:pPr>
      <w:widowControl w:val="0"/>
      <w:spacing w:after="0" w:line="240" w:lineRule="auto"/>
    </w:pPr>
    <w:rPr>
      <w:rFonts w:ascii="Arial" w:eastAsia="Calibri" w:hAnsi="Arial" w:cs="Times New Roman"/>
      <w:sz w:val="28"/>
      <w:szCs w:val="20"/>
      <w:lang w:eastAsia="ru-RU"/>
    </w:rPr>
  </w:style>
  <w:style w:type="paragraph" w:customStyle="1" w:styleId="afff8">
    <w:name w:val="Ромин список"/>
    <w:basedOn w:val="a2"/>
    <w:rsid w:val="000D732C"/>
    <w:pPr>
      <w:tabs>
        <w:tab w:val="num" w:pos="360"/>
        <w:tab w:val="num" w:pos="709"/>
      </w:tabs>
      <w:ind w:left="709" w:right="-91" w:hanging="284"/>
      <w:jc w:val="both"/>
    </w:pPr>
    <w:rPr>
      <w:i/>
      <w:szCs w:val="20"/>
    </w:rPr>
  </w:style>
  <w:style w:type="paragraph" w:customStyle="1" w:styleId="afff9">
    <w:name w:val="Олина таблица"/>
    <w:basedOn w:val="a2"/>
    <w:rsid w:val="000D732C"/>
    <w:pPr>
      <w:keepNext/>
      <w:ind w:right="-92"/>
      <w:jc w:val="both"/>
    </w:pPr>
    <w:rPr>
      <w:b/>
      <w:color w:val="000000"/>
      <w:sz w:val="28"/>
      <w:szCs w:val="20"/>
    </w:rPr>
  </w:style>
  <w:style w:type="paragraph" w:customStyle="1" w:styleId="FR1">
    <w:name w:val="FR1"/>
    <w:rsid w:val="000D732C"/>
    <w:pPr>
      <w:widowControl w:val="0"/>
      <w:spacing w:after="0" w:line="278" w:lineRule="auto"/>
    </w:pPr>
    <w:rPr>
      <w:rFonts w:ascii="Times New Roman" w:eastAsia="Calibri" w:hAnsi="Times New Roman" w:cs="Times New Roman"/>
      <w:sz w:val="20"/>
      <w:szCs w:val="20"/>
    </w:rPr>
  </w:style>
  <w:style w:type="paragraph" w:customStyle="1" w:styleId="fcb">
    <w:name w:val="Обычнуfcbй"/>
    <w:rsid w:val="000D732C"/>
    <w:pPr>
      <w:widowControl w:val="0"/>
      <w:spacing w:after="0" w:line="240" w:lineRule="auto"/>
    </w:pPr>
    <w:rPr>
      <w:rFonts w:ascii="Times New Roman" w:eastAsia="Calibri" w:hAnsi="Times New Roman" w:cs="Times New Roman"/>
      <w:sz w:val="20"/>
      <w:szCs w:val="20"/>
      <w:lang w:eastAsia="ru-RU"/>
    </w:rPr>
  </w:style>
  <w:style w:type="paragraph" w:customStyle="1" w:styleId="28">
    <w:name w:val="заголовок 2"/>
    <w:basedOn w:val="a2"/>
    <w:next w:val="a2"/>
    <w:rsid w:val="000D732C"/>
    <w:pPr>
      <w:keepNext/>
      <w:widowControl w:val="0"/>
      <w:shd w:val="pct10" w:color="auto" w:fill="auto"/>
      <w:spacing w:after="120"/>
    </w:pPr>
    <w:rPr>
      <w:rFonts w:ascii="Arial" w:hAnsi="Arial"/>
      <w:b/>
      <w:caps/>
      <w:sz w:val="20"/>
      <w:szCs w:val="20"/>
    </w:rPr>
  </w:style>
  <w:style w:type="paragraph" w:customStyle="1" w:styleId="MainText">
    <w:name w:val="MainText"/>
    <w:rsid w:val="000D732C"/>
    <w:pPr>
      <w:spacing w:after="0" w:line="240" w:lineRule="auto"/>
      <w:ind w:firstLine="567"/>
      <w:jc w:val="both"/>
    </w:pPr>
    <w:rPr>
      <w:rFonts w:ascii="PragmaticaC" w:eastAsia="Calibri" w:hAnsi="PragmaticaC" w:cs="Times New Roman"/>
      <w:color w:val="000000"/>
      <w:sz w:val="19"/>
      <w:szCs w:val="20"/>
      <w:lang w:val="en-US" w:eastAsia="ru-RU"/>
    </w:rPr>
  </w:style>
  <w:style w:type="paragraph" w:customStyle="1" w:styleId="Inioaeno">
    <w:name w:val="Ini. oaeno"/>
    <w:rsid w:val="000D732C"/>
    <w:pPr>
      <w:spacing w:after="0" w:line="240" w:lineRule="auto"/>
      <w:ind w:firstLine="567"/>
      <w:jc w:val="both"/>
    </w:pPr>
    <w:rPr>
      <w:rFonts w:ascii="Pragmatica" w:eastAsia="Calibri" w:hAnsi="Pragmatica" w:cs="Times New Roman"/>
      <w:color w:val="000000"/>
      <w:sz w:val="20"/>
      <w:szCs w:val="20"/>
      <w:lang w:val="en-US" w:eastAsia="ru-RU"/>
    </w:rPr>
  </w:style>
  <w:style w:type="paragraph" w:customStyle="1" w:styleId="MainText-BezOtstupa">
    <w:name w:val="MainText - BezOtstupa"/>
    <w:basedOn w:val="MainText"/>
    <w:next w:val="MainText"/>
    <w:rsid w:val="000D732C"/>
    <w:pPr>
      <w:ind w:firstLine="0"/>
    </w:pPr>
  </w:style>
  <w:style w:type="paragraph" w:customStyle="1" w:styleId="FR3">
    <w:name w:val="FR3"/>
    <w:rsid w:val="000D732C"/>
    <w:pPr>
      <w:widowControl w:val="0"/>
      <w:spacing w:after="0" w:line="240" w:lineRule="auto"/>
      <w:ind w:left="720"/>
      <w:jc w:val="both"/>
    </w:pPr>
    <w:rPr>
      <w:rFonts w:ascii="Arial" w:eastAsia="Calibri" w:hAnsi="Arial" w:cs="Times New Roman"/>
      <w:sz w:val="24"/>
      <w:szCs w:val="20"/>
      <w:lang w:eastAsia="ru-RU"/>
    </w:rPr>
  </w:style>
  <w:style w:type="paragraph" w:customStyle="1" w:styleId="29">
    <w:name w:val="Обычный2"/>
    <w:rsid w:val="000D732C"/>
    <w:pPr>
      <w:spacing w:after="0" w:line="240" w:lineRule="auto"/>
    </w:pPr>
    <w:rPr>
      <w:rFonts w:ascii="Times New Roman" w:eastAsia="Calibri" w:hAnsi="Times New Roman" w:cs="Times New Roman"/>
      <w:sz w:val="20"/>
      <w:szCs w:val="20"/>
      <w:lang w:eastAsia="ru-RU"/>
    </w:rPr>
  </w:style>
  <w:style w:type="paragraph" w:customStyle="1" w:styleId="afffa">
    <w:name w:val="Текстовый"/>
    <w:rsid w:val="000D732C"/>
    <w:pPr>
      <w:widowControl w:val="0"/>
      <w:spacing w:after="0" w:line="240" w:lineRule="auto"/>
      <w:jc w:val="both"/>
    </w:pPr>
    <w:rPr>
      <w:rFonts w:ascii="Arial" w:eastAsia="Calibri" w:hAnsi="Arial" w:cs="Times New Roman"/>
      <w:sz w:val="20"/>
      <w:szCs w:val="20"/>
      <w:lang w:eastAsia="ru-RU"/>
    </w:rPr>
  </w:style>
  <w:style w:type="paragraph" w:customStyle="1" w:styleId="ConsPlusCell">
    <w:name w:val="ConsPlusCell"/>
    <w:rsid w:val="000D732C"/>
    <w:pPr>
      <w:autoSpaceDE w:val="0"/>
      <w:autoSpaceDN w:val="0"/>
      <w:adjustRightInd w:val="0"/>
      <w:spacing w:after="0" w:line="240" w:lineRule="auto"/>
    </w:pPr>
    <w:rPr>
      <w:rFonts w:ascii="Arial" w:eastAsia="Calibri" w:hAnsi="Arial" w:cs="Arial"/>
      <w:sz w:val="20"/>
      <w:szCs w:val="20"/>
      <w:lang w:eastAsia="ru-RU"/>
    </w:rPr>
  </w:style>
  <w:style w:type="paragraph" w:customStyle="1" w:styleId="afffb">
    <w:name w:val="ПунктЖ"/>
    <w:basedOn w:val="a2"/>
    <w:rsid w:val="000D732C"/>
    <w:pPr>
      <w:tabs>
        <w:tab w:val="left" w:pos="3402"/>
        <w:tab w:val="left" w:pos="8505"/>
      </w:tabs>
      <w:spacing w:after="120"/>
    </w:pPr>
    <w:rPr>
      <w:b/>
      <w:sz w:val="20"/>
      <w:szCs w:val="20"/>
    </w:rPr>
  </w:style>
  <w:style w:type="paragraph" w:customStyle="1" w:styleId="afffc">
    <w:name w:val="???????"/>
    <w:rsid w:val="000D732C"/>
    <w:pPr>
      <w:spacing w:after="0" w:line="240" w:lineRule="auto"/>
    </w:pPr>
    <w:rPr>
      <w:rFonts w:ascii="Times New Roman" w:eastAsia="Calibri" w:hAnsi="Times New Roman" w:cs="Times New Roman"/>
      <w:sz w:val="20"/>
      <w:szCs w:val="20"/>
      <w:lang w:eastAsia="ru-RU"/>
    </w:rPr>
  </w:style>
  <w:style w:type="paragraph" w:customStyle="1" w:styleId="ConsPlusNonformat">
    <w:name w:val="ConsPlusNonformat"/>
    <w:rsid w:val="000D732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0D732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msonormal0">
    <w:name w:val="msonormal"/>
    <w:basedOn w:val="a2"/>
    <w:rsid w:val="000D732C"/>
    <w:pPr>
      <w:spacing w:before="100" w:beforeAutospacing="1" w:after="100" w:afterAutospacing="1"/>
    </w:pPr>
  </w:style>
  <w:style w:type="paragraph" w:customStyle="1" w:styleId="font5">
    <w:name w:val="font5"/>
    <w:basedOn w:val="a2"/>
    <w:rsid w:val="000D732C"/>
    <w:pPr>
      <w:spacing w:before="100" w:beforeAutospacing="1" w:after="100" w:afterAutospacing="1"/>
    </w:pPr>
    <w:rPr>
      <w:rFonts w:ascii="Tahoma" w:hAnsi="Tahoma" w:cs="Tahoma"/>
      <w:color w:val="000000"/>
      <w:sz w:val="18"/>
      <w:szCs w:val="18"/>
    </w:rPr>
  </w:style>
  <w:style w:type="paragraph" w:customStyle="1" w:styleId="font6">
    <w:name w:val="font6"/>
    <w:basedOn w:val="a2"/>
    <w:rsid w:val="000D732C"/>
    <w:pPr>
      <w:spacing w:before="100" w:beforeAutospacing="1" w:after="100" w:afterAutospacing="1"/>
    </w:pPr>
    <w:rPr>
      <w:rFonts w:ascii="Calibri" w:hAnsi="Calibri" w:cs="Calibri"/>
      <w:b/>
      <w:bCs/>
      <w:color w:val="000000"/>
    </w:rPr>
  </w:style>
  <w:style w:type="paragraph" w:customStyle="1" w:styleId="xl68">
    <w:name w:val="xl68"/>
    <w:basedOn w:val="a2"/>
    <w:rsid w:val="000D732C"/>
    <w:pPr>
      <w:shd w:val="clear" w:color="auto" w:fill="FFFFFF"/>
      <w:spacing w:before="100" w:beforeAutospacing="1" w:after="100" w:afterAutospacing="1"/>
    </w:pPr>
  </w:style>
  <w:style w:type="paragraph" w:customStyle="1" w:styleId="xl69">
    <w:name w:val="xl69"/>
    <w:basedOn w:val="a2"/>
    <w:rsid w:val="000D732C"/>
    <w:pPr>
      <w:shd w:val="clear" w:color="auto" w:fill="FFFFFF"/>
      <w:spacing w:before="100" w:beforeAutospacing="1" w:after="100" w:afterAutospacing="1"/>
      <w:jc w:val="right"/>
    </w:pPr>
  </w:style>
  <w:style w:type="paragraph" w:customStyle="1" w:styleId="xl70">
    <w:name w:val="xl70"/>
    <w:basedOn w:val="a2"/>
    <w:rsid w:val="000D732C"/>
    <w:pPr>
      <w:shd w:val="clear" w:color="auto" w:fill="FFFFFF"/>
      <w:spacing w:before="100" w:beforeAutospacing="1" w:after="100" w:afterAutospacing="1"/>
      <w:jc w:val="right"/>
    </w:pPr>
    <w:rPr>
      <w:sz w:val="20"/>
      <w:szCs w:val="20"/>
    </w:rPr>
  </w:style>
  <w:style w:type="paragraph" w:customStyle="1" w:styleId="xl71">
    <w:name w:val="xl71"/>
    <w:basedOn w:val="a2"/>
    <w:rsid w:val="000D732C"/>
    <w:pPr>
      <w:pBdr>
        <w:top w:val="single" w:sz="4" w:space="0" w:color="auto"/>
        <w:left w:val="single" w:sz="4" w:space="0" w:color="auto"/>
        <w:bottom w:val="single" w:sz="4" w:space="0" w:color="auto"/>
      </w:pBdr>
      <w:shd w:val="clear" w:color="auto" w:fill="E2EFDA"/>
      <w:spacing w:before="100" w:beforeAutospacing="1" w:after="100" w:afterAutospacing="1"/>
    </w:pPr>
    <w:rPr>
      <w:b/>
      <w:bCs/>
    </w:rPr>
  </w:style>
  <w:style w:type="paragraph" w:customStyle="1" w:styleId="xl72">
    <w:name w:val="xl72"/>
    <w:basedOn w:val="a2"/>
    <w:rsid w:val="000D732C"/>
    <w:pPr>
      <w:pBdr>
        <w:top w:val="single" w:sz="4" w:space="0" w:color="auto"/>
        <w:bottom w:val="single" w:sz="4" w:space="0" w:color="auto"/>
      </w:pBdr>
      <w:shd w:val="clear" w:color="auto" w:fill="E2EFDA"/>
      <w:spacing w:before="100" w:beforeAutospacing="1" w:after="100" w:afterAutospacing="1"/>
      <w:jc w:val="center"/>
    </w:pPr>
    <w:rPr>
      <w:b/>
      <w:bCs/>
    </w:rPr>
  </w:style>
  <w:style w:type="paragraph" w:customStyle="1" w:styleId="xl73">
    <w:name w:val="xl73"/>
    <w:basedOn w:val="a2"/>
    <w:rsid w:val="000D732C"/>
    <w:pPr>
      <w:pBdr>
        <w:top w:val="single" w:sz="4" w:space="0" w:color="auto"/>
        <w:bottom w:val="single" w:sz="4" w:space="0" w:color="auto"/>
      </w:pBdr>
      <w:shd w:val="clear" w:color="auto" w:fill="E2EFDA"/>
      <w:spacing w:before="100" w:beforeAutospacing="1" w:after="100" w:afterAutospacing="1"/>
    </w:pPr>
    <w:rPr>
      <w:b/>
      <w:bCs/>
    </w:rPr>
  </w:style>
  <w:style w:type="paragraph" w:customStyle="1" w:styleId="xl74">
    <w:name w:val="xl74"/>
    <w:basedOn w:val="a2"/>
    <w:rsid w:val="000D732C"/>
    <w:pPr>
      <w:pBdr>
        <w:top w:val="single" w:sz="4" w:space="0" w:color="auto"/>
      </w:pBdr>
      <w:shd w:val="clear" w:color="auto" w:fill="D9E1F2"/>
      <w:spacing w:before="100" w:beforeAutospacing="1" w:after="100" w:afterAutospacing="1"/>
    </w:pPr>
  </w:style>
  <w:style w:type="paragraph" w:customStyle="1" w:styleId="xl75">
    <w:name w:val="xl75"/>
    <w:basedOn w:val="a2"/>
    <w:rsid w:val="000D732C"/>
    <w:pPr>
      <w:pBdr>
        <w:top w:val="single" w:sz="4" w:space="0" w:color="auto"/>
        <w:right w:val="single" w:sz="4" w:space="0" w:color="auto"/>
      </w:pBdr>
      <w:shd w:val="clear" w:color="auto" w:fill="D9E1F2"/>
      <w:spacing w:before="100" w:beforeAutospacing="1" w:after="100" w:afterAutospacing="1"/>
    </w:pPr>
  </w:style>
  <w:style w:type="paragraph" w:customStyle="1" w:styleId="xl76">
    <w:name w:val="xl76"/>
    <w:basedOn w:val="a2"/>
    <w:rsid w:val="000D732C"/>
    <w:pPr>
      <w:shd w:val="clear" w:color="auto" w:fill="FFFFFF"/>
      <w:spacing w:before="100" w:beforeAutospacing="1" w:after="100" w:afterAutospacing="1"/>
    </w:pPr>
  </w:style>
  <w:style w:type="paragraph" w:customStyle="1" w:styleId="xl77">
    <w:name w:val="xl77"/>
    <w:basedOn w:val="a2"/>
    <w:rsid w:val="000D732C"/>
    <w:pPr>
      <w:shd w:val="clear" w:color="auto" w:fill="FFFFFF"/>
      <w:spacing w:before="100" w:beforeAutospacing="1" w:after="100" w:afterAutospacing="1"/>
    </w:pPr>
  </w:style>
  <w:style w:type="paragraph" w:customStyle="1" w:styleId="xl78">
    <w:name w:val="xl78"/>
    <w:basedOn w:val="a2"/>
    <w:rsid w:val="000D732C"/>
    <w:pPr>
      <w:shd w:val="clear" w:color="auto" w:fill="FFFFFF"/>
      <w:spacing w:before="100" w:beforeAutospacing="1" w:after="100" w:afterAutospacing="1"/>
    </w:pPr>
    <w:rPr>
      <w:b/>
      <w:bCs/>
    </w:rPr>
  </w:style>
  <w:style w:type="paragraph" w:customStyle="1" w:styleId="xl79">
    <w:name w:val="xl79"/>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a2"/>
    <w:rsid w:val="000D732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3">
    <w:name w:val="xl83"/>
    <w:basedOn w:val="a2"/>
    <w:rsid w:val="000D732C"/>
    <w:pPr>
      <w:pBdr>
        <w:top w:val="single" w:sz="4" w:space="0" w:color="auto"/>
        <w:bottom w:val="single" w:sz="4" w:space="0" w:color="auto"/>
      </w:pBdr>
      <w:spacing w:before="100" w:beforeAutospacing="1" w:after="100" w:afterAutospacing="1"/>
    </w:pPr>
    <w:rPr>
      <w:b/>
      <w:bCs/>
    </w:rPr>
  </w:style>
  <w:style w:type="paragraph" w:customStyle="1" w:styleId="xl84">
    <w:name w:val="xl84"/>
    <w:basedOn w:val="a2"/>
    <w:rsid w:val="000D732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2"/>
    <w:rsid w:val="000D732C"/>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pPr>
    <w:rPr>
      <w:b/>
      <w:bCs/>
    </w:rPr>
  </w:style>
  <w:style w:type="paragraph" w:customStyle="1" w:styleId="xl86">
    <w:name w:val="xl86"/>
    <w:basedOn w:val="a2"/>
    <w:rsid w:val="000D732C"/>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jc w:val="center"/>
    </w:pPr>
    <w:rPr>
      <w:b/>
      <w:bCs/>
    </w:rPr>
  </w:style>
  <w:style w:type="paragraph" w:customStyle="1" w:styleId="xl87">
    <w:name w:val="xl87"/>
    <w:basedOn w:val="a2"/>
    <w:rsid w:val="000D732C"/>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pPr>
    <w:rPr>
      <w:b/>
      <w:bCs/>
    </w:rPr>
  </w:style>
  <w:style w:type="paragraph" w:customStyle="1" w:styleId="xl88">
    <w:name w:val="xl88"/>
    <w:basedOn w:val="a2"/>
    <w:rsid w:val="000D732C"/>
    <w:pPr>
      <w:shd w:val="clear" w:color="auto" w:fill="FFFFFF"/>
      <w:spacing w:before="100" w:beforeAutospacing="1" w:after="100" w:afterAutospacing="1"/>
    </w:pPr>
    <w:rPr>
      <w:sz w:val="28"/>
      <w:szCs w:val="28"/>
    </w:rPr>
  </w:style>
  <w:style w:type="paragraph" w:customStyle="1" w:styleId="xl89">
    <w:name w:val="xl89"/>
    <w:basedOn w:val="a2"/>
    <w:rsid w:val="000D73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0">
    <w:name w:val="xl90"/>
    <w:basedOn w:val="a2"/>
    <w:rsid w:val="000D732C"/>
    <w:pPr>
      <w:pBdr>
        <w:top w:val="single" w:sz="4" w:space="0" w:color="auto"/>
        <w:left w:val="single" w:sz="4" w:space="0" w:color="auto"/>
      </w:pBdr>
      <w:shd w:val="clear" w:color="auto" w:fill="D9E1F2"/>
      <w:spacing w:before="100" w:beforeAutospacing="1" w:after="100" w:afterAutospacing="1"/>
    </w:pPr>
  </w:style>
  <w:style w:type="paragraph" w:customStyle="1" w:styleId="xl91">
    <w:name w:val="xl91"/>
    <w:basedOn w:val="a2"/>
    <w:rsid w:val="000D732C"/>
    <w:pPr>
      <w:pBdr>
        <w:top w:val="single" w:sz="4" w:space="0" w:color="auto"/>
      </w:pBdr>
      <w:shd w:val="clear" w:color="auto" w:fill="D9E1F2"/>
      <w:spacing w:before="100" w:beforeAutospacing="1" w:after="100" w:afterAutospacing="1"/>
      <w:jc w:val="center"/>
    </w:pPr>
  </w:style>
  <w:style w:type="paragraph" w:customStyle="1" w:styleId="xl92">
    <w:name w:val="xl92"/>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2"/>
    <w:rsid w:val="000D732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a2"/>
    <w:rsid w:val="000D732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8">
    <w:name w:val="xl98"/>
    <w:basedOn w:val="a2"/>
    <w:rsid w:val="000D732C"/>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pPr>
    <w:rPr>
      <w:b/>
      <w:bCs/>
    </w:rPr>
  </w:style>
  <w:style w:type="paragraph" w:customStyle="1" w:styleId="xl99">
    <w:name w:val="xl99"/>
    <w:basedOn w:val="a2"/>
    <w:rsid w:val="000D732C"/>
    <w:pPr>
      <w:pBdr>
        <w:top w:val="single" w:sz="4" w:space="0" w:color="auto"/>
        <w:left w:val="single" w:sz="4" w:space="0" w:color="auto"/>
        <w:bottom w:val="single" w:sz="4" w:space="0" w:color="auto"/>
      </w:pBdr>
      <w:spacing w:before="100" w:beforeAutospacing="1" w:after="100" w:afterAutospacing="1"/>
    </w:pPr>
  </w:style>
  <w:style w:type="paragraph" w:customStyle="1" w:styleId="xl100">
    <w:name w:val="xl100"/>
    <w:basedOn w:val="a2"/>
    <w:rsid w:val="000D732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1">
    <w:name w:val="xl101"/>
    <w:basedOn w:val="a2"/>
    <w:rsid w:val="000D732C"/>
    <w:pPr>
      <w:pBdr>
        <w:top w:val="single" w:sz="4" w:space="0" w:color="auto"/>
        <w:left w:val="single" w:sz="4" w:space="0" w:color="auto"/>
        <w:bottom w:val="single" w:sz="4" w:space="0" w:color="auto"/>
      </w:pBdr>
      <w:shd w:val="clear" w:color="auto" w:fill="FCE4D6"/>
      <w:spacing w:before="100" w:beforeAutospacing="1" w:after="100" w:afterAutospacing="1"/>
    </w:pPr>
    <w:rPr>
      <w:b/>
      <w:bCs/>
    </w:rPr>
  </w:style>
  <w:style w:type="paragraph" w:customStyle="1" w:styleId="xl102">
    <w:name w:val="xl102"/>
    <w:basedOn w:val="a2"/>
    <w:rsid w:val="000D732C"/>
    <w:pPr>
      <w:pBdr>
        <w:top w:val="single" w:sz="4" w:space="0" w:color="auto"/>
        <w:left w:val="single" w:sz="4" w:space="0" w:color="auto"/>
      </w:pBdr>
      <w:shd w:val="clear" w:color="auto" w:fill="D9E1F2"/>
      <w:spacing w:before="100" w:beforeAutospacing="1" w:after="100" w:afterAutospacing="1"/>
      <w:jc w:val="center"/>
    </w:pPr>
  </w:style>
  <w:style w:type="paragraph" w:customStyle="1" w:styleId="xl103">
    <w:name w:val="xl103"/>
    <w:basedOn w:val="a2"/>
    <w:rsid w:val="000D732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4">
    <w:name w:val="xl104"/>
    <w:basedOn w:val="a2"/>
    <w:rsid w:val="000D73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5">
    <w:name w:val="xl105"/>
    <w:basedOn w:val="a2"/>
    <w:rsid w:val="000D732C"/>
    <w:pPr>
      <w:shd w:val="clear" w:color="auto" w:fill="FFFFFF"/>
      <w:spacing w:before="100" w:beforeAutospacing="1" w:after="100" w:afterAutospacing="1"/>
    </w:pPr>
  </w:style>
  <w:style w:type="paragraph" w:customStyle="1" w:styleId="xl106">
    <w:name w:val="xl106"/>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2"/>
    <w:rsid w:val="000D732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2"/>
    <w:rsid w:val="000D732C"/>
    <w:pPr>
      <w:pBdr>
        <w:top w:val="single" w:sz="4" w:space="0" w:color="auto"/>
        <w:right w:val="single" w:sz="4" w:space="0" w:color="auto"/>
      </w:pBdr>
      <w:shd w:val="clear" w:color="auto" w:fill="D9E1F2"/>
      <w:spacing w:before="100" w:beforeAutospacing="1" w:after="100" w:afterAutospacing="1"/>
    </w:pPr>
  </w:style>
  <w:style w:type="paragraph" w:customStyle="1" w:styleId="xl110">
    <w:name w:val="xl110"/>
    <w:basedOn w:val="a2"/>
    <w:rsid w:val="000D732C"/>
    <w:pPr>
      <w:shd w:val="clear" w:color="auto" w:fill="FFFFFF"/>
      <w:spacing w:before="100" w:beforeAutospacing="1" w:after="100" w:afterAutospacing="1"/>
    </w:pPr>
    <w:rPr>
      <w:sz w:val="28"/>
      <w:szCs w:val="28"/>
    </w:rPr>
  </w:style>
  <w:style w:type="paragraph" w:customStyle="1" w:styleId="xl111">
    <w:name w:val="xl111"/>
    <w:basedOn w:val="a2"/>
    <w:rsid w:val="000D73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2">
    <w:name w:val="xl112"/>
    <w:basedOn w:val="a2"/>
    <w:rsid w:val="000D732C"/>
    <w:pPr>
      <w:pBdr>
        <w:top w:val="single" w:sz="4" w:space="0" w:color="auto"/>
        <w:bottom w:val="single" w:sz="4" w:space="0" w:color="auto"/>
      </w:pBdr>
      <w:shd w:val="clear" w:color="auto" w:fill="E2EFDA"/>
      <w:spacing w:before="100" w:beforeAutospacing="1" w:after="100" w:afterAutospacing="1"/>
    </w:pPr>
    <w:rPr>
      <w:b/>
      <w:bCs/>
    </w:rPr>
  </w:style>
  <w:style w:type="paragraph" w:customStyle="1" w:styleId="xl113">
    <w:name w:val="xl113"/>
    <w:basedOn w:val="a2"/>
    <w:rsid w:val="000D732C"/>
    <w:pPr>
      <w:pBdr>
        <w:top w:val="single" w:sz="4" w:space="0" w:color="auto"/>
      </w:pBdr>
      <w:shd w:val="clear" w:color="auto" w:fill="D9E1F2"/>
      <w:spacing w:before="100" w:beforeAutospacing="1" w:after="100" w:afterAutospacing="1"/>
    </w:pPr>
  </w:style>
  <w:style w:type="paragraph" w:customStyle="1" w:styleId="xl114">
    <w:name w:val="xl114"/>
    <w:basedOn w:val="a2"/>
    <w:rsid w:val="000D732C"/>
    <w:pPr>
      <w:pBdr>
        <w:bottom w:val="single" w:sz="4" w:space="0" w:color="auto"/>
      </w:pBdr>
      <w:shd w:val="clear" w:color="auto" w:fill="FFFFFF"/>
      <w:spacing w:before="100" w:beforeAutospacing="1" w:after="100" w:afterAutospacing="1"/>
    </w:pPr>
  </w:style>
  <w:style w:type="paragraph" w:customStyle="1" w:styleId="xl115">
    <w:name w:val="xl115"/>
    <w:basedOn w:val="a2"/>
    <w:rsid w:val="000D732C"/>
    <w:pPr>
      <w:pBdr>
        <w:bottom w:val="single" w:sz="4" w:space="0" w:color="auto"/>
        <w:right w:val="single" w:sz="4" w:space="0" w:color="auto"/>
      </w:pBdr>
      <w:shd w:val="clear" w:color="auto" w:fill="FFFFFF"/>
      <w:spacing w:before="100" w:beforeAutospacing="1" w:after="100" w:afterAutospacing="1"/>
    </w:pPr>
  </w:style>
  <w:style w:type="paragraph" w:customStyle="1" w:styleId="xl116">
    <w:name w:val="xl116"/>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8">
    <w:name w:val="xl118"/>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a2"/>
    <w:rsid w:val="000D732C"/>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pPr>
    <w:rPr>
      <w:b/>
      <w:bCs/>
    </w:rPr>
  </w:style>
  <w:style w:type="paragraph" w:customStyle="1" w:styleId="xl120">
    <w:name w:val="xl120"/>
    <w:basedOn w:val="a2"/>
    <w:rsid w:val="000D732C"/>
    <w:pPr>
      <w:shd w:val="clear" w:color="auto" w:fill="FFFFFF"/>
      <w:spacing w:before="100" w:beforeAutospacing="1" w:after="100" w:afterAutospacing="1"/>
    </w:pPr>
    <w:rPr>
      <w:color w:val="0563C1"/>
      <w:u w:val="single"/>
    </w:rPr>
  </w:style>
  <w:style w:type="paragraph" w:customStyle="1" w:styleId="xl121">
    <w:name w:val="xl121"/>
    <w:basedOn w:val="a2"/>
    <w:rsid w:val="000D73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2">
    <w:name w:val="xl122"/>
    <w:basedOn w:val="a2"/>
    <w:rsid w:val="000D73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3">
    <w:name w:val="xl123"/>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a2"/>
    <w:rsid w:val="000D732C"/>
    <w:pPr>
      <w:pBdr>
        <w:top w:val="single" w:sz="4" w:space="0" w:color="auto"/>
        <w:left w:val="single" w:sz="4" w:space="0" w:color="auto"/>
        <w:bottom w:val="single" w:sz="4" w:space="0" w:color="auto"/>
      </w:pBdr>
      <w:spacing w:before="100" w:beforeAutospacing="1" w:after="100" w:afterAutospacing="1"/>
    </w:pPr>
  </w:style>
  <w:style w:type="paragraph" w:customStyle="1" w:styleId="xl125">
    <w:name w:val="xl125"/>
    <w:basedOn w:val="a2"/>
    <w:rsid w:val="000D73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6">
    <w:name w:val="xl126"/>
    <w:basedOn w:val="a2"/>
    <w:rsid w:val="000D732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127">
    <w:name w:val="xl127"/>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2"/>
    <w:rsid w:val="000D73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9">
    <w:name w:val="xl129"/>
    <w:basedOn w:val="a2"/>
    <w:rsid w:val="000D732C"/>
    <w:pPr>
      <w:shd w:val="clear" w:color="auto" w:fill="92D050"/>
      <w:spacing w:before="100" w:beforeAutospacing="1" w:after="100" w:afterAutospacing="1"/>
    </w:pPr>
  </w:style>
  <w:style w:type="paragraph" w:customStyle="1" w:styleId="xl130">
    <w:name w:val="xl130"/>
    <w:basedOn w:val="a2"/>
    <w:rsid w:val="000D73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31">
    <w:name w:val="xl131"/>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32">
    <w:name w:val="xl132"/>
    <w:basedOn w:val="a2"/>
    <w:rsid w:val="000D732C"/>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133">
    <w:name w:val="xl133"/>
    <w:basedOn w:val="a2"/>
    <w:rsid w:val="000D732C"/>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2"/>
    <w:rsid w:val="000D73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35">
    <w:name w:val="xl135"/>
    <w:basedOn w:val="a2"/>
    <w:rsid w:val="000D732C"/>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2"/>
    <w:rsid w:val="000D732C"/>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7">
    <w:name w:val="xl137"/>
    <w:basedOn w:val="a2"/>
    <w:rsid w:val="000D732C"/>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38">
    <w:name w:val="xl138"/>
    <w:basedOn w:val="a2"/>
    <w:rsid w:val="000D732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character" w:styleId="afffd">
    <w:name w:val="footnote reference"/>
    <w:semiHidden/>
    <w:unhideWhenUsed/>
    <w:rsid w:val="000D732C"/>
    <w:rPr>
      <w:vertAlign w:val="superscript"/>
    </w:rPr>
  </w:style>
  <w:style w:type="character" w:styleId="afffe">
    <w:name w:val="annotation reference"/>
    <w:semiHidden/>
    <w:unhideWhenUsed/>
    <w:rsid w:val="000D732C"/>
    <w:rPr>
      <w:sz w:val="16"/>
    </w:rPr>
  </w:style>
  <w:style w:type="character" w:styleId="affff">
    <w:name w:val="page number"/>
    <w:semiHidden/>
    <w:unhideWhenUsed/>
    <w:rsid w:val="000D732C"/>
    <w:rPr>
      <w:rFonts w:ascii="Times New Roman" w:hAnsi="Times New Roman" w:cs="Times New Roman" w:hint="default"/>
    </w:rPr>
  </w:style>
  <w:style w:type="character" w:styleId="affff0">
    <w:name w:val="endnote reference"/>
    <w:semiHidden/>
    <w:unhideWhenUsed/>
    <w:rsid w:val="000D732C"/>
    <w:rPr>
      <w:vertAlign w:val="superscript"/>
    </w:rPr>
  </w:style>
  <w:style w:type="character" w:customStyle="1" w:styleId="affff1">
    <w:name w:val="Заголовок Знак"/>
    <w:locked/>
    <w:rsid w:val="000D732C"/>
    <w:rPr>
      <w:rFonts w:ascii="Times New Roman" w:hAnsi="Times New Roman" w:cs="Times New Roman" w:hint="default"/>
      <w:b/>
      <w:bCs/>
      <w:sz w:val="24"/>
      <w:szCs w:val="24"/>
      <w:lang w:val="x-none" w:eastAsia="ru-RU"/>
    </w:rPr>
  </w:style>
  <w:style w:type="character" w:customStyle="1" w:styleId="apple-style-span">
    <w:name w:val="apple-style-span"/>
    <w:rsid w:val="000D732C"/>
    <w:rPr>
      <w:rFonts w:ascii="Times New Roman" w:hAnsi="Times New Roman" w:cs="Times New Roman" w:hint="default"/>
    </w:rPr>
  </w:style>
  <w:style w:type="character" w:customStyle="1" w:styleId="apple-converted-space">
    <w:name w:val="apple-converted-space"/>
    <w:rsid w:val="000D732C"/>
    <w:rPr>
      <w:rFonts w:ascii="Times New Roman" w:hAnsi="Times New Roman" w:cs="Times New Roman" w:hint="default"/>
    </w:rPr>
  </w:style>
  <w:style w:type="character" w:customStyle="1" w:styleId="FontStyle29">
    <w:name w:val="Font Style29"/>
    <w:rsid w:val="000D732C"/>
    <w:rPr>
      <w:rFonts w:ascii="Times New Roman" w:hAnsi="Times New Roman" w:cs="Times New Roman" w:hint="default"/>
      <w:color w:val="000000"/>
      <w:sz w:val="20"/>
    </w:rPr>
  </w:style>
  <w:style w:type="character" w:customStyle="1" w:styleId="MessageHeaderLabel">
    <w:name w:val="Message Header Label"/>
    <w:rsid w:val="000D732C"/>
    <w:rPr>
      <w:b/>
      <w:bCs w:val="0"/>
      <w:sz w:val="18"/>
    </w:rPr>
  </w:style>
  <w:style w:type="character" w:customStyle="1" w:styleId="text">
    <w:name w:val="text"/>
    <w:rsid w:val="000D732C"/>
    <w:rPr>
      <w:rFonts w:ascii="Times New Roman" w:hAnsi="Times New Roman" w:cs="Times New Roman" w:hint="default"/>
    </w:rPr>
  </w:style>
  <w:style w:type="table" w:styleId="affff2">
    <w:name w:val="Table Grid"/>
    <w:basedOn w:val="a5"/>
    <w:rsid w:val="000D732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Мониторинг_подпункт"/>
    <w:basedOn w:val="afff6"/>
    <w:autoRedefine/>
    <w:rsid w:val="000D732C"/>
    <w:pPr>
      <w:tabs>
        <w:tab w:val="left" w:pos="900"/>
      </w:tabs>
    </w:pPr>
  </w:style>
  <w:style w:type="paragraph" w:customStyle="1" w:styleId="a0">
    <w:name w:val="Мониторинг_подпункт_сп"/>
    <w:basedOn w:val="affff3"/>
    <w:autoRedefine/>
    <w:rsid w:val="000D732C"/>
    <w:pPr>
      <w:numPr>
        <w:ilvl w:val="1"/>
        <w:numId w:val="8"/>
      </w:numPr>
      <w:tabs>
        <w:tab w:val="clear" w:pos="900"/>
        <w:tab w:val="left" w:pos="567"/>
      </w:tabs>
      <w:ind w:left="-142" w:firstLine="709"/>
    </w:pPr>
  </w:style>
  <w:style w:type="paragraph" w:customStyle="1" w:styleId="a">
    <w:name w:val="Мониторинг_подпункт_подсп"/>
    <w:basedOn w:val="a0"/>
    <w:autoRedefine/>
    <w:rsid w:val="000D732C"/>
    <w:pPr>
      <w:numPr>
        <w:ilvl w:val="0"/>
        <w:numId w:val="9"/>
      </w:numPr>
      <w:tabs>
        <w:tab w:val="clear" w:pos="567"/>
        <w:tab w:val="num" w:pos="720"/>
        <w:tab w:val="left" w:pos="1260"/>
      </w:tabs>
      <w:ind w:left="1260"/>
    </w:pPr>
    <w:rPr>
      <w:bCs w:val="0"/>
      <w:i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8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E98FD065711315B13CDB0E4BC244106&amp;req=doc&amp;base=LAW&amp;n=357182&amp;REFFIELD=134&amp;REFDST=100024&amp;REFDOC=356040&amp;REFBASE=LAW&amp;stat=refcode%3D16876%3Bindex%3D49&amp;date=20.07.20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fdanalyse.ru/NormDoc/Reglam_SB.doc"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230B872A93D489DFC16F62857C067B2F1F133777EDD1BFCD26E508D64913ABCD9FB13DDA31BBA3ABEAB7C219FAE7E1A35629F8039932686DTFI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9140</Words>
  <Characters>52101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Павел Суханов</cp:lastModifiedBy>
  <cp:revision>2</cp:revision>
  <dcterms:created xsi:type="dcterms:W3CDTF">2020-08-12T09:31:00Z</dcterms:created>
  <dcterms:modified xsi:type="dcterms:W3CDTF">2020-08-12T09:31:00Z</dcterms:modified>
</cp:coreProperties>
</file>